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0211</w:t>
      </w:r>
      <w:r>
        <w:rPr>
          <w:rFonts w:cs="Times New Roman" w:ascii="Times New Roman" w:hAnsi="Times New Roman"/>
          <w:b/>
          <w:sz w:val="24"/>
          <w:szCs w:val="24"/>
        </w:rPr>
        <w:t>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 2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eastAsia="Calibri" w:cs="Times New Roman" w:ascii="Times New Roman" w:hAnsi="Times New Roman"/>
          <w:sz w:val="24"/>
          <w:szCs w:val="24"/>
        </w:rPr>
        <w:t>главой муниципального образования «Малопургинский район»</w:t>
      </w:r>
      <w:r>
        <w:rPr>
          <w:rFonts w:cs="Times New Roman" w:ascii="Times New Roman" w:hAnsi="Times New Roman"/>
          <w:sz w:val="24"/>
          <w:szCs w:val="24"/>
        </w:rPr>
        <w:t xml:space="preserve"> 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</w:t>
      </w:r>
      <w:r>
        <w:rPr>
          <w:rFonts w:cs="Times New Roman" w:ascii="Times New Roman" w:hAnsi="Times New Roman"/>
          <w:sz w:val="24"/>
          <w:szCs w:val="24"/>
        </w:rPr>
        <w:t>ября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14а,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14б,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14в,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14г,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14д,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6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14е, располагаемая по адресу: Центр кольца с. Малая Пурга, вдоль автодороги  Миндерево - Малая Пурга-Агрыз км. 1+156.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2, 3, 4, 5, 6: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по лотам № № 1, 2, 3, 4, 5, 6 - 5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</w:t>
      </w:r>
      <w:r>
        <w:rPr>
          <w:rFonts w:cs="Times New Roman" w:ascii="Times New Roman" w:hAnsi="Times New Roman"/>
          <w:sz w:val="24"/>
          <w:szCs w:val="24"/>
        </w:rPr>
        <w:t xml:space="preserve">ября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Соколов Вячеслав Алексеевич,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Ожмегова Ирина Витальевна,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с</w:t>
      </w:r>
      <w:r>
        <w:rPr>
          <w:rFonts w:eastAsia="Calibri" w:cs="Times New Roman" w:ascii="Times New Roman" w:hAnsi="Times New Roman"/>
          <w:sz w:val="24"/>
          <w:szCs w:val="24"/>
        </w:rPr>
        <w:t>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Кудяшева Елена Владимировна.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5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членов комиссии, что составило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62,5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- лот № 5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6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По лоту № 2: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 лоту № 3: в</w:t>
      </w:r>
      <w:r>
        <w:rPr>
          <w:rFonts w:cs="Times New Roman" w:ascii="Times New Roman" w:hAnsi="Times New Roman"/>
          <w:sz w:val="24"/>
          <w:szCs w:val="24"/>
        </w:rPr>
        <w:t xml:space="preserve">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 xml:space="preserve">5. По лоту № 5: в связи с отсутствием заявок по лоту № 5, аукцион по отношению к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лоту № 5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6. По лоту № 6: в связи с отсутствием заявок по лоту № 6, аукцион по отношению к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лоту № 6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 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 w:val="false"/>
          <w:sz w:val="24"/>
          <w:szCs w:val="24"/>
          <w:lang w:eastAsia="ru-RU"/>
        </w:rPr>
      </w:pPr>
      <w:r>
        <w:rPr>
          <w:b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Соколов В.А. 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0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Михайлова С.С .____________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 w:val="false"/>
          <w:sz w:val="24"/>
          <w:szCs w:val="24"/>
          <w:lang w:eastAsia="ru-RU"/>
        </w:rPr>
      </w:pPr>
      <w:r>
        <w:rPr>
          <w:b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LibreOffice/5.3.2.2$Windows_X86_64 LibreOffice_project/6cd4f1ef626f15116896b1d8e1398b56da0d0ee1</Application>
  <Pages>2</Pages>
  <Words>641</Words>
  <Characters>3583</Characters>
  <CharactersWithSpaces>4339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2018-11-29T13:36:06Z</cp:lastPrinted>
  <dcterms:modified xsi:type="dcterms:W3CDTF">2018-11-29T13:39:46Z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