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«Пугачевское» от 26.11.2019 года № 67</w:t>
      </w:r>
    </w:p>
    <w:p w:rsidR="0005106C" w:rsidRPr="0005106C" w:rsidRDefault="0005106C" w:rsidP="000510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83" w:lineRule="exact"/>
        <w:ind w:right="2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06C">
        <w:rPr>
          <w:rFonts w:ascii="Times New Roman" w:eastAsia="Times New Roman" w:hAnsi="Times New Roman" w:cs="Times New Roman"/>
          <w:b/>
          <w:sz w:val="28"/>
          <w:szCs w:val="28"/>
        </w:rPr>
        <w:t>Программа «Формирование современной городской среды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06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 </w:t>
      </w:r>
      <w:r w:rsidRPr="00051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«Пугачевское»</w:t>
      </w:r>
      <w:r w:rsidRPr="0005106C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106C">
        <w:rPr>
          <w:rFonts w:ascii="Times New Roman" w:eastAsia="Times New Roman" w:hAnsi="Times New Roman" w:cs="Times New Roman"/>
          <w:sz w:val="28"/>
          <w:szCs w:val="28"/>
        </w:rPr>
        <w:t xml:space="preserve">Паспорт программы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106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r w:rsidRPr="0005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«Пугачевское»</w:t>
      </w:r>
      <w:r w:rsidRPr="0005106C">
        <w:rPr>
          <w:rFonts w:ascii="Times New Roman" w:eastAsia="Times New Roman" w:hAnsi="Times New Roman" w:cs="Times New Roman"/>
          <w:sz w:val="28"/>
          <w:szCs w:val="28"/>
        </w:rPr>
        <w:t xml:space="preserve">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488"/>
      <w:bookmarkEnd w:id="0"/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21"/>
      </w:tblGrid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«Пугачевское» на 2018-2024 годы</w:t>
            </w: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Гражданский кодекс Российской Федерации,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Бюджетный кодекс Российской Федерации,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05106C" w:rsidRPr="0005106C" w:rsidRDefault="0005106C" w:rsidP="0005106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- Постановление Правительства РФ от 09.02.2019 г. 106 «</w:t>
            </w:r>
            <w:r w:rsidRPr="000510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Федерации»;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 Минстроя РФ от 06.04.2017 г № 691 Методические рекомендации по подготовке государственных (муниципальных) программ формирование современной городской среды в рамках реализации приоритетного проекта «Формирование комфортной городской среды на 2018-2022г.»</w:t>
            </w:r>
          </w:p>
          <w:p w:rsidR="0005106C" w:rsidRPr="0005106C" w:rsidRDefault="0005106C" w:rsidP="0005106C">
            <w:pPr>
              <w:shd w:val="clear" w:color="auto" w:fill="EEEEEE"/>
              <w:spacing w:after="150" w:line="24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-Приказ Минстроя РФ от 21 декабря 2017г. № 1696/</w:t>
            </w:r>
            <w:proofErr w:type="spellStart"/>
            <w:proofErr w:type="gramStart"/>
            <w:r w:rsidRPr="000510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«О внесении изменений в Методические рекомендации по подготовке государственных программ субъектов Российской Федерации и муниципальных программ формирования современной городской среды на 2018-2022 годы, утвержденные приказом Министерства строительства и жилищно-коммунального хозяйства Российской Федерации от 06 апреля 2017г. № 691/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«Пугачевское»</w:t>
            </w: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«Малопургинский район»</w:t>
            </w: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 благоустройства общественных  и дворовых территорий муниципального образования  «Пугачевское»</w:t>
            </w: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уровня благоустройства</w:t>
            </w:r>
            <w:r w:rsidRPr="000510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 и дворовых территорий муниципального образования «Пугачевское», включая объекты, находящиеся в частной собственности и прилегающие к ним территории;</w:t>
            </w:r>
          </w:p>
          <w:p w:rsidR="0005106C" w:rsidRPr="0005106C" w:rsidRDefault="0005106C" w:rsidP="00051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«Пугачевское»;</w:t>
            </w:r>
          </w:p>
          <w:p w:rsidR="0005106C" w:rsidRPr="0005106C" w:rsidRDefault="0005106C" w:rsidP="00051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-формирование инструмента общественного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мероприятий по благоустройству на территории муниципального образования «Пугачевское».</w:t>
            </w:r>
          </w:p>
          <w:p w:rsidR="0005106C" w:rsidRPr="0005106C" w:rsidRDefault="0005106C" w:rsidP="00051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 площадь благоустроенных дворовых территорий,      ед.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многоквартирных домов от 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количества дворовых территорий, проценты;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«Пугачевское»), проценты;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территорий, единиц;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благоустроенных общественных территорий,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площади благоустроенных общественных территорий к общей площади общественных территорий, проценты,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благоустроенных общественных территорий, приходящихся на 1 жителя муниципального образования «Пугачевское»,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чел./часы;</w:t>
            </w:r>
          </w:p>
          <w:p w:rsidR="0005106C" w:rsidRPr="0005106C" w:rsidRDefault="0005106C" w:rsidP="0005106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Calibri" w:hAnsi="Times New Roman" w:cs="Times New Roman"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  <w:p w:rsidR="0005106C" w:rsidRPr="0005106C" w:rsidRDefault="0005106C" w:rsidP="0005106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территорий, чел./часы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05106C" w:rsidRPr="0005106C" w:rsidTr="007F3138">
        <w:trPr>
          <w:trHeight w:val="51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2018-2024 годы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мероприятий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2018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761300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722500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2019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803343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Российской Федерации – 741607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22936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2020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755970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717170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2021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755970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717170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2022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755970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717170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2023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755970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717170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2024 году</w:t>
            </w: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. Всего – 755970 руб., из них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УР – 717170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«Пугачевское» - 38800 руб.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06C" w:rsidRPr="0005106C" w:rsidTr="007F3138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дворовых и общественных территорий на территории МО «Пугачевское», повышение уровня ответственности населения на территории МО «Пугачевское» за состоянием чистоты, повышение экологической культуры населения.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МО «Пугачевское».</w:t>
            </w:r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1.Характеристика состояния сферы деятельности.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современного состояния уровня благоустройства территории муниципального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«Пугачевское»,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«Пугачевское»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насчитывается 36 многоквартирных домов,  из них 18 домов относятся к домам блокированной застройки, 2 одноэтажных, 9 двухэтажных, 5 трехэтажных, 2 пятиэтажных многоквартирных домов. 19 многоквартирных домов находятся в управлении управляющей организац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 У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Велидия</w:t>
      </w:r>
      <w:proofErr w:type="spell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 дом управляется ТСН «Уютный дом». Двухквартирные дома управляются непосредственно самими собственниками жилья.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результаты обследований дворовых территории показали, что в большинстве дворов отсутствует необходимый набор малых архитектурных форм  и обустроенные детские площадки.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Также не соответствует современным требованиям территории общественного пользования, так как принимаемые в последнее время меры по частичному благоустройству территорий не приводят к должному результату, поскольку не основаны на последовательном комплексном подходе к решению проблемы.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Общественные территории – это территории муниципального образования соответствующего функционального назначения (площади, набережные, пешеходные зоны, улицы, скверы, парки, иные территории).</w:t>
      </w:r>
      <w:proofErr w:type="gramEnd"/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Проблемы общественных территорий: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- состояние и развитие парков, скверов, набережных;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- отсутствие качественных зон отдыха;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- неудовлетворительное состояние малых архитектурных форм;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- отсутствие инфраструктуры для различных групп населения;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- засоренность территорий.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05106C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муниципального образования «Пугачевское»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благоустройство должно включать в себя: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благоустройство дворовых территорий многоквартирных домов, предусматривающее: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минимальный </w:t>
      </w:r>
      <w:r w:rsidRPr="0005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работ по благоустройству: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ремонт тротуаров и мест стоянки автотранспортных средств;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освещение дворовых территорий;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установка малых архитектурных форм (скамейки, урны для мусора).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б) дополнительный перечень работ по благоустройству: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имеющейся или устройство новой дождевой канализации, дренажной системы,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вертикальной планировки территории (при необходимости);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прилегающей территории.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общественной территории.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№1</w:t>
      </w: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820"/>
        <w:gridCol w:w="7780"/>
        <w:gridCol w:w="1120"/>
        <w:gridCol w:w="1196"/>
      </w:tblGrid>
      <w:tr w:rsidR="0005106C" w:rsidRPr="0005106C" w:rsidTr="007F3138">
        <w:trPr>
          <w:trHeight w:val="51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и максимальная стоимость работ единицы измерения</w:t>
            </w:r>
          </w:p>
        </w:tc>
      </w:tr>
      <w:tr w:rsidR="0005106C" w:rsidRPr="0005106C" w:rsidTr="007F3138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ед. изм., руб.*</w:t>
            </w:r>
          </w:p>
        </w:tc>
      </w:tr>
      <w:tr w:rsidR="0005106C" w:rsidRPr="0005106C" w:rsidTr="007F31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05106C" w:rsidRPr="0005106C" w:rsidTr="007F3138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1тн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anchor="'1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10 946,00</w:t>
              </w:r>
            </w:hyperlink>
          </w:p>
        </w:tc>
      </w:tr>
      <w:tr w:rsidR="0005106C" w:rsidRPr="0005106C" w:rsidTr="007F3138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'2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529 844,00</w:t>
              </w:r>
            </w:hyperlink>
          </w:p>
        </w:tc>
      </w:tr>
      <w:tr w:rsidR="0005106C" w:rsidRPr="0005106C" w:rsidTr="007F313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'3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650 951,00</w:t>
              </w:r>
            </w:hyperlink>
          </w:p>
        </w:tc>
      </w:tr>
      <w:tr w:rsidR="0005106C" w:rsidRPr="0005106C" w:rsidTr="007F3138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anchor="'4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590 598,00</w:t>
              </w:r>
            </w:hyperlink>
          </w:p>
        </w:tc>
      </w:tr>
      <w:tr w:rsidR="0005106C" w:rsidRPr="0005106C" w:rsidTr="007F313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плотного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anchor="'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546 492,00</w:t>
              </w:r>
            </w:hyperlink>
          </w:p>
        </w:tc>
      </w:tr>
      <w:tr w:rsidR="0005106C" w:rsidRPr="0005106C" w:rsidTr="007F3138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anchor="'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511 997,00</w:t>
              </w:r>
            </w:hyperlink>
          </w:p>
        </w:tc>
      </w:tr>
      <w:tr w:rsidR="0005106C" w:rsidRPr="0005106C" w:rsidTr="007F313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anchor="'7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115 016,00</w:t>
              </w:r>
            </w:hyperlink>
          </w:p>
        </w:tc>
      </w:tr>
      <w:tr w:rsidR="0005106C" w:rsidRPr="0005106C" w:rsidTr="007F313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anchor="'8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54 566,00</w:t>
              </w:r>
            </w:hyperlink>
          </w:p>
        </w:tc>
      </w:tr>
      <w:tr w:rsidR="0005106C" w:rsidRPr="0005106C" w:rsidTr="007F313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подстилающего слоя из ПГС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'9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244 668,00</w:t>
              </w:r>
            </w:hyperlink>
          </w:p>
        </w:tc>
      </w:tr>
      <w:tr w:rsidR="0005106C" w:rsidRPr="0005106C" w:rsidTr="007F313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'10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183 890,00</w:t>
              </w:r>
            </w:hyperlink>
          </w:p>
        </w:tc>
      </w:tr>
      <w:tr w:rsidR="0005106C" w:rsidRPr="0005106C" w:rsidTr="007F313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'11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418 722,00</w:t>
              </w:r>
            </w:hyperlink>
          </w:p>
        </w:tc>
      </w:tr>
      <w:tr w:rsidR="0005106C" w:rsidRPr="0005106C" w:rsidTr="007F3138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'12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146 645,00</w:t>
              </w:r>
            </w:hyperlink>
          </w:p>
        </w:tc>
      </w:tr>
      <w:tr w:rsidR="0005106C" w:rsidRPr="0005106C" w:rsidTr="007F313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'13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72 277,00</w:t>
              </w:r>
            </w:hyperlink>
          </w:p>
        </w:tc>
      </w:tr>
      <w:tr w:rsidR="0005106C" w:rsidRPr="0005106C" w:rsidTr="007F313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5106C" w:rsidRPr="0005106C" w:rsidTr="007F313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'14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283 816,00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anchor="'1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1 533,00</w:t>
              </w:r>
            </w:hyperlink>
          </w:p>
        </w:tc>
      </w:tr>
      <w:tr w:rsidR="0005106C" w:rsidRPr="0005106C" w:rsidTr="007F3138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5106C" w:rsidRPr="0005106C" w:rsidTr="007F313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1тн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anchor="'1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10 946,00</w:t>
              </w:r>
            </w:hyperlink>
          </w:p>
        </w:tc>
      </w:tr>
      <w:tr w:rsidR="0005106C" w:rsidRPr="0005106C" w:rsidTr="007F313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anchor="'17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42 512,00</w:t>
              </w:r>
            </w:hyperlink>
          </w:p>
        </w:tc>
      </w:tr>
      <w:tr w:rsidR="0005106C" w:rsidRPr="0005106C" w:rsidTr="007F313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anchor="'18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115 016,00</w:t>
              </w:r>
            </w:hyperlink>
          </w:p>
        </w:tc>
      </w:tr>
      <w:tr w:rsidR="0005106C" w:rsidRPr="0005106C" w:rsidTr="007F313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anchor="'19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415 545,00</w:t>
              </w:r>
            </w:hyperlink>
          </w:p>
        </w:tc>
      </w:tr>
      <w:tr w:rsidR="0005106C" w:rsidRPr="0005106C" w:rsidTr="007F313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anchor="'20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578 428,00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anchor="'21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720 407,00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anchor="'22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587 844,00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anchor="'23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732 205,00</w:t>
              </w:r>
            </w:hyperlink>
          </w:p>
        </w:tc>
      </w:tr>
      <w:tr w:rsidR="0005106C" w:rsidRPr="0005106C" w:rsidTr="007F313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anchor="'24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695 313,00</w:t>
              </w:r>
            </w:hyperlink>
          </w:p>
        </w:tc>
      </w:tr>
      <w:tr w:rsidR="0005106C" w:rsidRPr="0005106C" w:rsidTr="007F313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5106C" w:rsidRPr="0005106C" w:rsidTr="007F3138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anchor="'2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38 073,00</w:t>
              </w:r>
            </w:hyperlink>
          </w:p>
        </w:tc>
      </w:tr>
      <w:tr w:rsidR="0005106C" w:rsidRPr="0005106C" w:rsidTr="007F3138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anchor="'2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37 746,00</w:t>
              </w:r>
            </w:hyperlink>
          </w:p>
        </w:tc>
      </w:tr>
      <w:tr w:rsidR="0005106C" w:rsidRPr="0005106C" w:rsidTr="007F3138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anchor="'27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36 233,00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anchor="'28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116 960,00</w:t>
              </w:r>
            </w:hyperlink>
          </w:p>
        </w:tc>
      </w:tr>
      <w:tr w:rsidR="0005106C" w:rsidRPr="0005106C" w:rsidTr="007F313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anchor="'29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106 659,00</w:t>
              </w:r>
            </w:hyperlink>
          </w:p>
        </w:tc>
      </w:tr>
      <w:tr w:rsidR="0005106C" w:rsidRPr="0005106C" w:rsidTr="007F3138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anchor="'30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65 450,00</w:t>
              </w:r>
            </w:hyperlink>
          </w:p>
        </w:tc>
      </w:tr>
      <w:tr w:rsidR="0005106C" w:rsidRPr="0005106C" w:rsidTr="007F313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anchor="'31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36 492,00</w:t>
              </w:r>
            </w:hyperlink>
          </w:p>
        </w:tc>
      </w:tr>
      <w:tr w:rsidR="0005106C" w:rsidRPr="0005106C" w:rsidTr="007F3138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anchor="'32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35 927,00</w:t>
              </w:r>
            </w:hyperlink>
          </w:p>
        </w:tc>
      </w:tr>
      <w:tr w:rsidR="0005106C" w:rsidRPr="0005106C" w:rsidTr="007F313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anchor="'33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84 412,00</w:t>
              </w:r>
            </w:hyperlink>
          </w:p>
        </w:tc>
      </w:tr>
      <w:tr w:rsidR="0005106C" w:rsidRPr="0005106C" w:rsidTr="007F313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anchor="'34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61 233,00</w:t>
              </w:r>
            </w:hyperlink>
          </w:p>
        </w:tc>
      </w:tr>
      <w:tr w:rsidR="0005106C" w:rsidRPr="0005106C" w:rsidTr="007F3138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anchor="'3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192,00</w:t>
              </w:r>
            </w:hyperlink>
          </w:p>
        </w:tc>
      </w:tr>
      <w:tr w:rsidR="0005106C" w:rsidRPr="0005106C" w:rsidTr="007F313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anchor="'3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138,00</w:t>
              </w:r>
            </w:hyperlink>
          </w:p>
        </w:tc>
      </w:tr>
      <w:tr w:rsidR="0005106C" w:rsidRPr="0005106C" w:rsidTr="007F3138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anchor="'5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325 140,00</w:t>
              </w:r>
            </w:hyperlink>
          </w:p>
        </w:tc>
      </w:tr>
      <w:tr w:rsidR="0005106C" w:rsidRPr="0005106C" w:rsidTr="007F3138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anchor="'5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3 148 262,00</w:t>
              </w:r>
            </w:hyperlink>
          </w:p>
        </w:tc>
      </w:tr>
      <w:tr w:rsidR="0005106C" w:rsidRPr="0005106C" w:rsidTr="007F313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anchor="'57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5 422 088,00</w:t>
              </w:r>
            </w:hyperlink>
          </w:p>
        </w:tc>
      </w:tr>
      <w:tr w:rsidR="0005106C" w:rsidRPr="0005106C" w:rsidTr="007F313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водоотводящего валика из а/б марки II тип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anchor="'58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579 931,00</w:t>
              </w:r>
            </w:hyperlink>
          </w:p>
        </w:tc>
      </w:tr>
      <w:tr w:rsidR="0005106C" w:rsidRPr="0005106C" w:rsidTr="007F313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anchor="'59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24 215,00</w:t>
              </w:r>
            </w:hyperlink>
          </w:p>
        </w:tc>
      </w:tr>
      <w:tr w:rsidR="0005106C" w:rsidRPr="0005106C" w:rsidTr="007F313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Срезка покрытия методом холодного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фрезирования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anchor="'60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52 097,00</w:t>
              </w:r>
            </w:hyperlink>
          </w:p>
        </w:tc>
      </w:tr>
      <w:tr w:rsidR="0005106C" w:rsidRPr="0005106C" w:rsidTr="007F313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anchor="'65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4 417,00</w:t>
              </w:r>
            </w:hyperlink>
          </w:p>
        </w:tc>
      </w:tr>
      <w:tr w:rsidR="0005106C" w:rsidRPr="0005106C" w:rsidTr="007F3138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anchor="'66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18 587,00</w:t>
              </w:r>
            </w:hyperlink>
          </w:p>
        </w:tc>
      </w:tr>
      <w:tr w:rsidR="0005106C" w:rsidRPr="0005106C" w:rsidTr="007F313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anchor="'67'!A1" w:history="1">
              <w:r w:rsidRPr="00051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31256,00</w:t>
              </w:r>
            </w:hyperlink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 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05106C" w:rsidRPr="0005106C" w:rsidRDefault="0005106C" w:rsidP="000510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дворовых территорий многоквартирных домов, нуждающихся в благоустройстве (с учетом их физического состояния) и подлежащих благоустройству в указанный период, формируется исходя из минимального перечня работ по благоустройству, а так же с учетом предложений заинтересованных лиц. Физическое состояние дворовой территории и необходимость ее благоустройства определяется по результатам инвентаризации дворовой территории.</w:t>
      </w:r>
    </w:p>
    <w:p w:rsidR="0005106C" w:rsidRPr="0005106C" w:rsidRDefault="0005106C" w:rsidP="000510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и подлежащих благоустройству в указанный период, формируется исходя из физического состояния, а также с учетом предложений заинтересованных лиц. 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территории.</w:t>
      </w:r>
    </w:p>
    <w:p w:rsidR="0005106C" w:rsidRPr="0005106C" w:rsidRDefault="0005106C" w:rsidP="0005106C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благоустройству на территории МО «Пугачевское».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2. Приоритеты, цели и задачи социально-экономического развития МО «Пугачевское» в сфере реализации программы.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 w:rsidRPr="000510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Основной целью данной Программы является повышение уровня благоустройства общественных и дворовых территорий МО «Пугачевское».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- повышение уровня благоустройства</w:t>
      </w:r>
      <w:r w:rsidRPr="000510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общественных и дворовых территорий МО «Пугачевское»;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 территорий. 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06C" w:rsidRPr="0005106C" w:rsidRDefault="0005106C" w:rsidP="0005106C">
      <w:pPr>
        <w:keepNext/>
        <w:tabs>
          <w:tab w:val="num" w:pos="567"/>
        </w:tabs>
        <w:suppressAutoHyphens/>
        <w:spacing w:after="0" w:line="240" w:lineRule="auto"/>
        <w:ind w:left="567" w:right="56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510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показателей (индикаторов) сформирован с учётом: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05106C" w:rsidRPr="0005106C" w:rsidRDefault="0005106C" w:rsidP="0005106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Стратегией социально-экономического развития муниципального образования «Малопургинский район» до 2025 года.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целевыми показателями достижения целей и решения задач программы являются: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 w:rsidRPr="000510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.; Показатель характеризует работу органов 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по благоустройству дворовых территорий многоквартирных домов в муниципальном образовании «Пугачевское»;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«Пугачевское», проценты;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количество благоустроенных общественных территорий, единиц;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благоустроенных общественных территорий,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доля площади благоустроенных общественных территорий к общей площади общественных территорий на территории села Пугачево, проценты, </w:t>
      </w:r>
      <w:proofErr w:type="spellStart"/>
      <w:r w:rsidRPr="000510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5106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 w:rsidRPr="000510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5106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05106C" w:rsidRPr="0005106C" w:rsidRDefault="0005106C" w:rsidP="0005106C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05106C" w:rsidRPr="0005106C" w:rsidRDefault="0005106C" w:rsidP="000510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05106C" w:rsidRPr="0005106C" w:rsidRDefault="0005106C" w:rsidP="000510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05106C" w:rsidRPr="0005106C" w:rsidRDefault="0005106C" w:rsidP="000510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6C" w:rsidRPr="0005106C" w:rsidRDefault="0005106C" w:rsidP="000510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территорий и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05106C" w:rsidRPr="0005106C" w:rsidRDefault="0005106C" w:rsidP="00051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4. Сроки (этапы) реализации Программы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ab/>
        <w:t>Реализация Программы предусмотрена на 2018-2024 годы без выделения этапов.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510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Основные мероприятия, направленные на достижение целей и задач в сфере реализации программы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программы осуществляются основные мероприятия: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05106C" w:rsidRPr="0005106C" w:rsidRDefault="0005106C" w:rsidP="0005106C">
      <w:pPr>
        <w:numPr>
          <w:ilvl w:val="0"/>
          <w:numId w:val="12"/>
        </w:num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05106C" w:rsidRPr="0005106C" w:rsidRDefault="0005106C" w:rsidP="0005106C">
      <w:pPr>
        <w:numPr>
          <w:ilvl w:val="0"/>
          <w:numId w:val="12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 в соответствии с минимальным перечнем работ по благоустройству общественных территорий, а также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 w:rsidRPr="0005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автотранспортных средств, освещение дворовых территорий, установка малых архитектурных форм (скамейки, урны для мусора).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мероприятия проводится: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степени благоустройства общественных и дворовых территорий многоквартирных домов муниципального образования «Пугачевское»;</w:t>
      </w:r>
    </w:p>
    <w:p w:rsidR="0005106C" w:rsidRPr="0005106C" w:rsidRDefault="0005106C" w:rsidP="00051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1" w:anchor="Par29" w:history="1">
        <w:proofErr w:type="gramStart"/>
        <w:r w:rsidRPr="000510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«Пугачевское» в план реализации программы «Формирование современной городской среды на территории муниципального образования «Пугачевское»;</w:t>
      </w:r>
    </w:p>
    <w:p w:rsidR="0005106C" w:rsidRPr="0005106C" w:rsidRDefault="0005106C" w:rsidP="00051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«Пугачевское», на территории которых планируется благоустройство в 2018-2024 годы,</w:t>
      </w:r>
    </w:p>
    <w:p w:rsidR="0005106C" w:rsidRPr="0005106C" w:rsidRDefault="0005106C" w:rsidP="00051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05106C" w:rsidRPr="0005106C" w:rsidRDefault="0005106C" w:rsidP="0005106C">
      <w:pPr>
        <w:numPr>
          <w:ilvl w:val="0"/>
          <w:numId w:val="12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05106C" w:rsidRPr="0005106C" w:rsidRDefault="0005106C" w:rsidP="0005106C">
      <w:pPr>
        <w:numPr>
          <w:ilvl w:val="0"/>
          <w:numId w:val="12"/>
        </w:num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сдаче-приемке работ по дворовым территориям, благоустраиваемым с привлечением средств федерального бюджета.</w:t>
      </w:r>
    </w:p>
    <w:p w:rsidR="0005106C" w:rsidRPr="0005106C" w:rsidRDefault="0005106C" w:rsidP="0005106C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мероприятия проводится:</w:t>
      </w:r>
    </w:p>
    <w:p w:rsidR="0005106C" w:rsidRPr="0005106C" w:rsidRDefault="0005106C" w:rsidP="0005106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актов приемки работ по дворовым территориям, благоустраиваемым с привлечением средств федерального бюджета, представителями заказчика, уполномоченного лица, которое вправе действовать в интересах всех собственников помещений в многоквартирном доме и Администрации МО «Пугачевское».</w:t>
      </w:r>
    </w:p>
    <w:p w:rsidR="0005106C" w:rsidRPr="0005106C" w:rsidRDefault="0005106C" w:rsidP="000510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граждан, организаций в реализацию мероприятий в сфере формирования современной  городской среды</w:t>
      </w:r>
      <w:r w:rsidRPr="00051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мероприятия предполагает: 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по благоустройству общественных дворовых территорий многоквартирных домов;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r w:rsidRPr="0005106C">
        <w:rPr>
          <w:rFonts w:ascii="Times New Roman" w:eastAsia="Calibri" w:hAnsi="Times New Roman" w:cs="Times New Roman"/>
          <w:sz w:val="24"/>
          <w:szCs w:val="24"/>
        </w:rPr>
        <w:t>Пугачевское</w:t>
      </w: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» (Приложение №7).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Обеспечение мероприятий по выполнению работ по благоустройству общественных территорий в соответствии с </w:t>
      </w:r>
      <w:proofErr w:type="gram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мероприятия проводится: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благоустроенности общественных территорий, по результатам которого составляется паспорт благоустройства общественной территории в соответствии с требованиями, установленными субъектом Российской Федерации;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рассмотрение и оценка предложений граждан, организаций на включение в адресный перечень всех общественных территорий, нуждающихся в благоустройстве и подлежащих благоустройству в 2018-2024 годах в соответствии с Порядком </w:t>
      </w: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среды» на территории муниципального образования «Пугачевское» на 2018-2024 годы;</w:t>
      </w:r>
      <w:proofErr w:type="gramEnd"/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работ по благоустройству общественных территорий.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7. Проведение мероприятий по сдаче-приемке работ по общественным территориям, благоустроенным с привлечением средств федерального бюджета.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мероприятия проводится: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согласование актов приемки работ по общественным территориям, благоустраиваемым с привлечением средств федерального бюджета, представителями заказчика и Администрации МО «Пугачевское».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8. Организация заседаний общественной комиссии.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мероприятия проводится: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общественной комиссии;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протоколов заседания общественной комиссии на официальном сайте муниципального образования «Пугачевское».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9. Публикация материалов в местных СМИ, мониторинг работы в ГИС ЖКХ.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мероприятия организуется работа по освещению реализации мероприятий программы в СМИ, проводится работа по заполнению модуля «Формирование комфортной городской среды» в ГИС ЖКХ.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05106C" w:rsidRPr="0005106C" w:rsidRDefault="0005106C" w:rsidP="00051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МО «</w:t>
      </w:r>
      <w:r w:rsidRPr="0005106C">
        <w:rPr>
          <w:rFonts w:ascii="Times New Roman" w:eastAsia="Calibri" w:hAnsi="Times New Roman" w:cs="Times New Roman"/>
          <w:sz w:val="24"/>
          <w:szCs w:val="24"/>
        </w:rPr>
        <w:t>Пугачевское</w:t>
      </w: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благоустройства дворовой территории.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«Пугачевское».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Общественная комиссия осуществляет </w:t>
      </w:r>
      <w:proofErr w:type="gram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работ по благоустройству.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государственных (муниципальных) нужд в целях реализации государственных программ субъектов Российской Федерации,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субсидий – для заключения соглашений на выполнение работ по благоустройству дворовых территорий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такой срок не был соблюден по причине обжалования соответствующей закупки в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7. Ресурсное обеспечение Программы</w:t>
      </w:r>
    </w:p>
    <w:p w:rsidR="0005106C" w:rsidRPr="0005106C" w:rsidRDefault="0005106C" w:rsidP="000510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«Пугачевское» в соответствии с законодательством.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06C">
        <w:rPr>
          <w:rFonts w:ascii="Times New Roman" w:eastAsia="Calibri" w:hAnsi="Times New Roman" w:cs="Times New Roman"/>
          <w:sz w:val="24"/>
          <w:szCs w:val="24"/>
        </w:rPr>
        <w:t>Объем средств из бюджета муниципального образования «Пугачевское»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мероприятий программы на 2018-2024 годы составит 5344,493 тыс. рублей, в том числе по источникам финансирования и годам реализации муниципальной программы (в тыс. руб.):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ab/>
        <w:t>Общий объем финансирования мероприятий: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2018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761300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722500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2019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803343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Российской Федерации – 741607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22936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2020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755970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717170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2021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755970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717170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2022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755970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717170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2023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755970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717170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</w:rPr>
        <w:t>В 2024 году</w:t>
      </w:r>
      <w:r w:rsidRPr="0005106C">
        <w:rPr>
          <w:rFonts w:ascii="Times New Roman" w:eastAsia="Times New Roman" w:hAnsi="Times New Roman" w:cs="Times New Roman"/>
          <w:sz w:val="24"/>
          <w:szCs w:val="24"/>
        </w:rPr>
        <w:t>. Всего – 755970 руб., из них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Субсидии из бюджета УР – 717170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Бюджет МО «Пугачевское» - 38800 руб.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за счет всех источников финансирования подлежит уточнению в рамках бюджетного цикла. </w:t>
      </w:r>
      <w:r w:rsidRPr="0005106C">
        <w:rPr>
          <w:rFonts w:ascii="Times New Roman" w:eastAsia="Calibri" w:hAnsi="Times New Roman" w:cs="Times New Roman"/>
          <w:sz w:val="24"/>
          <w:szCs w:val="24"/>
        </w:rPr>
        <w:t>Приоритетным является распределение денежных средств: 75 % на благоустройство общественных территорий и 25 % на благоустройство дворовых территорий.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реализации мероприятий программы за счет средств бюджета МО «Пугачевское» представлено  в Приложении 3 к программе.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06C">
        <w:rPr>
          <w:rFonts w:ascii="Times New Roman" w:eastAsia="Calibri" w:hAnsi="Times New Roman" w:cs="Times New Roman"/>
          <w:sz w:val="24"/>
          <w:szCs w:val="24"/>
        </w:rPr>
        <w:t>Необходимо отметить, что средства собственников жилых помещений и иных заинтересованных лиц привлекаются с долевым участием не менее 5% от общего объема работ.</w:t>
      </w:r>
    </w:p>
    <w:p w:rsidR="0005106C" w:rsidRPr="0005106C" w:rsidRDefault="0005106C" w:rsidP="0005106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8. Анализ рисков и описание мер управления рисками.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1 . Финансовые и экономические риски: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</w:t>
      </w:r>
      <w:proofErr w:type="gramStart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05106C" w:rsidRPr="0005106C" w:rsidRDefault="0005106C" w:rsidP="000510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целевого использования бюджетных средств;</w:t>
      </w:r>
    </w:p>
    <w:p w:rsidR="0005106C" w:rsidRPr="0005106C" w:rsidRDefault="0005106C" w:rsidP="000510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мер муниципального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средств;</w:t>
      </w:r>
    </w:p>
    <w:p w:rsidR="0005106C" w:rsidRPr="0005106C" w:rsidRDefault="0005106C" w:rsidP="000510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«Пугачевское» на период до 2025 года.</w:t>
      </w:r>
    </w:p>
    <w:p w:rsidR="0005106C" w:rsidRPr="0005106C" w:rsidRDefault="0005106C" w:rsidP="0005106C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6C">
        <w:rPr>
          <w:rFonts w:ascii="Times New Roman" w:eastAsia="Times New Roman" w:hAnsi="Times New Roman" w:cs="Times New Roman"/>
          <w:sz w:val="24"/>
          <w:szCs w:val="24"/>
        </w:rPr>
        <w:t>2. Административные риски.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05106C" w:rsidRPr="0005106C" w:rsidRDefault="0005106C" w:rsidP="0005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исполнителей мероприятий программы на конкурсной основе;</w:t>
      </w:r>
    </w:p>
    <w:p w:rsidR="0005106C" w:rsidRPr="0005106C" w:rsidRDefault="0005106C" w:rsidP="00051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Последствиями развития вышеуказанных рисков событий могут быть:</w:t>
      </w:r>
    </w:p>
    <w:p w:rsidR="0005106C" w:rsidRPr="0005106C" w:rsidRDefault="0005106C" w:rsidP="000510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и (или) стоимости реализации мероприятий программы;</w:t>
      </w:r>
    </w:p>
    <w:p w:rsidR="0005106C" w:rsidRPr="0005106C" w:rsidRDefault="0005106C" w:rsidP="000510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целевых индикаторов и показателей программы.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05106C" w:rsidRPr="0005106C" w:rsidRDefault="0005106C" w:rsidP="000510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05106C" w:rsidRPr="0005106C" w:rsidRDefault="0005106C" w:rsidP="000510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МО «Пугачевское», повышение уровня ответственности населения на территории МО «Пугачевское» за состоянием чистоты, повышение экологической культуры населения.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и общественных территорий на территории МО «Пугачевское».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Форма участия и доля участия заинтересованных лиц в выполнении минимального и дополнительного перечня работ по благоустройству дворовых территорий многоквартирных домов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мероприятий программы приветствуется возможность участия заинтересованных лиц в выполнении минимального перечня работ по благоустройству дворовых территорий многоквартирных домов (ремонт дворовых проездов, обеспечение освещения дворовой территории, установка скамеек, урн, иные виды работ). Вклад заинтересованных лиц может быть внесен в следующей форме: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участие;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например подготовка территории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волонтерских, студенческих строительных отрядов.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физических лиц (граждан), юридических лиц –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имеющее социально полезную направленность, не требующую специальной квалификации (подготовка объекта (дворовой территории) к началу работ: земляные работы, снятие старого оборудования, уборка мусора, покраска оборудования, озеленение территории, посадка деревьев, охрана объекта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работы).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финансового участия физических лиц (граждан) и юридических лиц понимается доля финансового участия в выполнении минимального и дополнительного перечня работ по благоустройству дворовых территорий. При этом доля их финансового участия в выполнении минимального перечня работ по благоустройству дворовых территорий в размере не менее 9 % от стоимости работ, а в выполнении дополнительного перечня работ не менее 20 % от стоимости выполнения работ.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Право муниципального образования исключать из перечня дворовые и общественные территории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имеет право не позднее последнего года реализации федерального проекта: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имеющих физический износ более 70 процентов основных конструктивных элементов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решения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среды»;</w:t>
      </w:r>
      <w:proofErr w:type="gramEnd"/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собственниками помещений многоквартирных домов которых приняли решение об отказе от благоустройства дворовой территории в рамках реализации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Правилами предоставления субсидий и являющимися условиями использования субсидий в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исключение дворовой территории из перечня дворовых территорий, подлежащих благоустройству в рамках реализации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возможно только при условии одобрения соответствующего решения муниципального образования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  <w:proofErr w:type="gramEnd"/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участки, на которых расположены многоквартирные дома, подлежащие благоустройству не позднее последнего года реализации Программы в целях </w:t>
      </w:r>
      <w:proofErr w:type="spell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которых предоставляется субсидия, подлежат государственному кадастровому учету. При отсутствии кадастрового учета указанного земельного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его исключение или перенос сроков выполнения из адресного перечня дворовых территорий, подлежащих благоустройству, при условии постановки на кадастровый учет земельного участка и одобрения такого решения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106C" w:rsidRPr="0005106C" w:rsidSect="001F3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591"/>
        <w:gridCol w:w="550"/>
        <w:gridCol w:w="3135"/>
        <w:gridCol w:w="1095"/>
        <w:gridCol w:w="1173"/>
        <w:gridCol w:w="1134"/>
        <w:gridCol w:w="1134"/>
        <w:gridCol w:w="1134"/>
        <w:gridCol w:w="1276"/>
        <w:gridCol w:w="1275"/>
        <w:gridCol w:w="1135"/>
      </w:tblGrid>
      <w:tr w:rsidR="0005106C" w:rsidRPr="0005106C" w:rsidTr="007F3138">
        <w:trPr>
          <w:trHeight w:val="2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аналитической программой классификации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показателей 2018-2022 годы</w:t>
            </w:r>
          </w:p>
        </w:tc>
      </w:tr>
      <w:tr w:rsidR="0005106C" w:rsidRPr="0005106C" w:rsidTr="007F3138">
        <w:trPr>
          <w:trHeight w:val="27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5106C" w:rsidRPr="0005106C" w:rsidTr="007F3138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06C">
              <w:rPr>
                <w:rFonts w:ascii="Times New Roman" w:eastAsia="Times New Roman" w:hAnsi="Times New Roman" w:cs="Times New Roman"/>
                <w:b/>
              </w:rPr>
              <w:t>Формирование современной городской среды на территории МО «Пугачевское» на 2018-2022 годы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9889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15772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28347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28347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%,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 размер финансового  участия заинтересованных </w:t>
            </w: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%,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06C" w:rsidRPr="0005106C" w:rsidTr="007F313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дворовой территории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5106C" w:rsidRPr="0005106C" w:rsidSect="00DA44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140"/>
        <w:gridCol w:w="71"/>
        <w:gridCol w:w="26"/>
        <w:gridCol w:w="1186"/>
        <w:gridCol w:w="1742"/>
        <w:gridCol w:w="1527"/>
      </w:tblGrid>
      <w:tr w:rsidR="0005106C" w:rsidRPr="0005106C" w:rsidTr="007F3138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МО «Пугачевское» на 2018-2024 годы»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06C" w:rsidRPr="0005106C" w:rsidTr="007F3138">
        <w:trPr>
          <w:trHeight w:val="9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06C" w:rsidRPr="0005106C" w:rsidTr="007F3138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06C" w:rsidRPr="0005106C" w:rsidTr="007F3138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trHeight w:val="825"/>
        </w:trPr>
        <w:tc>
          <w:tcPr>
            <w:tcW w:w="14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05106C" w:rsidRPr="0005106C" w:rsidTr="007F3138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06C" w:rsidRPr="0005106C" w:rsidTr="007F3138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05106C" w:rsidRPr="0005106C" w:rsidTr="007F3138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 реализации</w:t>
            </w:r>
          </w:p>
        </w:tc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106C" w:rsidRPr="0005106C" w:rsidTr="007F3138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05106C" w:rsidRPr="0005106C" w:rsidTr="007F3138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современной городской среды на территории МО "Пугачевское" на 2018-2024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106C" w:rsidRPr="0005106C" w:rsidTr="007F3138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06C" w:rsidRPr="0005106C" w:rsidTr="007F3138">
        <w:trPr>
          <w:trHeight w:val="197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 по выполнению работ в соответствии с минимальным перечнем работ по благоустройству </w:t>
            </w: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</w:t>
            </w: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местами), тротуарами и автомобильными дорогами, включая автомобильные дороги, образующие проезды к территориям, прилегающим к многоквартирным домам, освещение дворовых территорий, установка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малых архитектурных форм (скамейки, урны)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благоустройству дворовых территорий в соответствии с минимальным перечнем работ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01.0.1.-01.0.3,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01.0.1.-01.0.3,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граждан о проводимых мероприятиях по благоустройству  дворовых территорий многоквартирных домов и муниципальных общественных пространств; 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01.0.1.-01.0.3,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сдаче-приемке работ по дворовым территориям, благоустраиваемым с привлечением средств федерального бюджета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Сдача-приемка работ по дворовым территориям с привлечением заинтересованных лиц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01.0.1.-01.0.3,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выполнению работ по благоустройству общественных территорий в соответствии с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дизайн-проектами</w:t>
            </w:r>
            <w:proofErr w:type="gram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благоустройству общественных территорий в соответствии с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дизайн-проектами</w:t>
            </w:r>
            <w:proofErr w:type="gram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01.0.4-01.0.7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 мероприятий по сдаче-приемке работ по общественным  территориям, благоустраиваемым с привлечением средств федерального бюджета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Сдача-приемка работ по общественным территориям с привлечением средств федерального бюджета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01.0.4-01.0.7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заседания общественной комиссии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ходом выполнения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01.0.1-01.0.11</w:t>
            </w:r>
          </w:p>
        </w:tc>
      </w:tr>
      <w:tr w:rsidR="0005106C" w:rsidRPr="0005106C" w:rsidTr="007F313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материалов в местных СМИ, мониторинг работы в ГИС ЖКХ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раскрытие информации о реализации мероприятий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01.0.1-01.0.11</w:t>
            </w:r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57"/>
        <w:tblW w:w="16412" w:type="dxa"/>
        <w:tblLayout w:type="fixed"/>
        <w:tblLook w:val="00A0" w:firstRow="1" w:lastRow="0" w:firstColumn="1" w:lastColumn="0" w:noHBand="0" w:noVBand="0"/>
      </w:tblPr>
      <w:tblGrid>
        <w:gridCol w:w="620"/>
        <w:gridCol w:w="55"/>
        <w:gridCol w:w="375"/>
        <w:gridCol w:w="490"/>
        <w:gridCol w:w="368"/>
        <w:gridCol w:w="340"/>
        <w:gridCol w:w="2237"/>
        <w:gridCol w:w="1577"/>
        <w:gridCol w:w="619"/>
        <w:gridCol w:w="520"/>
        <w:gridCol w:w="639"/>
        <w:gridCol w:w="1078"/>
        <w:gridCol w:w="460"/>
        <w:gridCol w:w="795"/>
        <w:gridCol w:w="186"/>
        <w:gridCol w:w="522"/>
        <w:gridCol w:w="129"/>
        <w:gridCol w:w="394"/>
        <w:gridCol w:w="328"/>
        <w:gridCol w:w="212"/>
        <w:gridCol w:w="497"/>
        <w:gridCol w:w="850"/>
        <w:gridCol w:w="851"/>
        <w:gridCol w:w="567"/>
        <w:gridCol w:w="283"/>
        <w:gridCol w:w="768"/>
        <w:gridCol w:w="652"/>
      </w:tblGrid>
      <w:tr w:rsidR="0005106C" w:rsidRPr="0005106C" w:rsidTr="007F3138">
        <w:trPr>
          <w:gridAfter w:val="1"/>
          <w:wAfter w:w="652" w:type="dxa"/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МО «Пугачевское» на 2018-2024 годы»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средств бюджета муниципального образования "Пугачевское"</w:t>
            </w:r>
            <w:r w:rsidRPr="00051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gridAfter w:val="1"/>
          <w:wAfter w:w="652" w:type="dxa"/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gridAfter w:val="1"/>
          <w:wAfter w:w="652" w:type="dxa"/>
          <w:trHeight w:val="735"/>
        </w:trPr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6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trHeight w:val="4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420" w:type="dxa"/>
            <w:gridSpan w:val="2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trHeight w:val="9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Формирование современной городской среды на территории МО «Пугачевское» на 2018-2024 годы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20" w:type="dxa"/>
            <w:gridSpan w:val="2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06C" w:rsidRPr="0005106C" w:rsidTr="007F3138">
        <w:trPr>
          <w:gridAfter w:val="2"/>
          <w:wAfter w:w="1420" w:type="dxa"/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«Пугачевское»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</w:t>
            </w: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S5552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</w:t>
            </w: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S6552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</w:t>
            </w: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R5552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76" w:tblpY="-51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575"/>
        <w:gridCol w:w="575"/>
        <w:gridCol w:w="576"/>
        <w:gridCol w:w="3140"/>
        <w:gridCol w:w="1608"/>
        <w:gridCol w:w="1020"/>
        <w:gridCol w:w="892"/>
        <w:gridCol w:w="1020"/>
        <w:gridCol w:w="996"/>
        <w:gridCol w:w="941"/>
        <w:gridCol w:w="941"/>
        <w:gridCol w:w="902"/>
        <w:gridCol w:w="902"/>
      </w:tblGrid>
      <w:tr w:rsidR="0005106C" w:rsidRPr="0005106C" w:rsidTr="007F3138">
        <w:trPr>
          <w:trHeight w:val="300"/>
        </w:trPr>
        <w:tc>
          <w:tcPr>
            <w:tcW w:w="2424" w:type="dxa"/>
            <w:gridSpan w:val="4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40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608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614" w:type="dxa"/>
            <w:gridSpan w:val="8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05106C" w:rsidRPr="0005106C" w:rsidTr="007F3138">
        <w:trPr>
          <w:trHeight w:val="300"/>
        </w:trPr>
        <w:tc>
          <w:tcPr>
            <w:tcW w:w="69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75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75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7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40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05106C" w:rsidRPr="0005106C" w:rsidTr="007F3138">
        <w:trPr>
          <w:trHeight w:val="300"/>
        </w:trPr>
        <w:tc>
          <w:tcPr>
            <w:tcW w:w="69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05106C" w:rsidRPr="0005106C" w:rsidTr="007F3138">
        <w:trPr>
          <w:trHeight w:val="315"/>
        </w:trPr>
        <w:tc>
          <w:tcPr>
            <w:tcW w:w="698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6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0" w:type="dxa"/>
            <w:vMerge w:val="restart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современной городской среды на территории МО "Пугачевское" на 2018-2024 годы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" w:type="dxa"/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5344,493</w:t>
            </w: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020" w:type="dxa"/>
            <w:noWrap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803,343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</w:tr>
      <w:tr w:rsidR="0005106C" w:rsidRPr="0005106C" w:rsidTr="007F3138">
        <w:trPr>
          <w:trHeight w:val="315"/>
        </w:trPr>
        <w:tc>
          <w:tcPr>
            <w:tcW w:w="698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МО «Пугачевское»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06C" w:rsidRPr="0005106C" w:rsidTr="007F3138">
        <w:trPr>
          <w:trHeight w:val="315"/>
        </w:trPr>
        <w:tc>
          <w:tcPr>
            <w:tcW w:w="698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9" w:firstLine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585,218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741,607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06C" w:rsidRPr="0005106C" w:rsidTr="007F3138">
        <w:trPr>
          <w:trHeight w:val="1365"/>
        </w:trPr>
        <w:tc>
          <w:tcPr>
            <w:tcW w:w="698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137,282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22,936</w:t>
            </w: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0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717,17</w:t>
            </w:r>
          </w:p>
        </w:tc>
      </w:tr>
      <w:tr w:rsidR="0005106C" w:rsidRPr="0005106C" w:rsidTr="007F3138">
        <w:trPr>
          <w:trHeight w:val="465"/>
        </w:trPr>
        <w:tc>
          <w:tcPr>
            <w:tcW w:w="698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заинтересованных лиц – многоквартирных домов</w:t>
            </w: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RANGE!A1:K9"/>
      <w:bookmarkEnd w:id="2"/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5106C" w:rsidRPr="0005106C" w:rsidSect="001F375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общественных территорий многоквартирных домов подлежащих благоустройству по программе «Формирование современной городской среды  на территории МО «Пугачевское»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8"/>
        <w:gridCol w:w="621"/>
        <w:gridCol w:w="2640"/>
        <w:gridCol w:w="1296"/>
        <w:gridCol w:w="1296"/>
        <w:gridCol w:w="3444"/>
      </w:tblGrid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улицы, номер дома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 территории (</w:t>
            </w:r>
            <w:proofErr w:type="spellStart"/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работы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5106C" w:rsidRPr="0005106C" w:rsidTr="007F3138">
        <w:tc>
          <w:tcPr>
            <w:tcW w:w="675" w:type="dxa"/>
            <w:gridSpan w:val="2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5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общественных территорий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Складская, детская площадка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установка игрового и спортивного оборудования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детская площадка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установка спортивного оборудования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детская площадка (2 этап)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установка игрового оборудования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Складская, хоккейная коробка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обустройство стоянки для автотранспорта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 зона отдыха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стадион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12575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</w:t>
            </w:r>
          </w:p>
        </w:tc>
      </w:tr>
      <w:tr w:rsidR="0005106C" w:rsidRPr="0005106C" w:rsidTr="007F3138">
        <w:tc>
          <w:tcPr>
            <w:tcW w:w="667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9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Складская, зона отдыха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96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12575</w:t>
            </w:r>
          </w:p>
        </w:tc>
        <w:tc>
          <w:tcPr>
            <w:tcW w:w="3444" w:type="dxa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наружного освещения, устройство малых архитектурных форм</w:t>
            </w:r>
          </w:p>
        </w:tc>
      </w:tr>
      <w:tr w:rsidR="0005106C" w:rsidRPr="0005106C" w:rsidTr="007F3138">
        <w:tc>
          <w:tcPr>
            <w:tcW w:w="1296" w:type="dxa"/>
            <w:gridSpan w:val="3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gridSpan w:val="4"/>
          </w:tcPr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         </w:t>
            </w:r>
          </w:p>
          <w:p w:rsidR="0005106C" w:rsidRPr="0005106C" w:rsidRDefault="0005106C" w:rsidP="000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дизайн-проектов</w:t>
      </w:r>
      <w:proofErr w:type="gramEnd"/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«Пугачевское» на 2018-2024 годы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«Пугачевское» на 2018-2024 годы» (далее  - Порядок).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05106C" w:rsidRPr="0005106C" w:rsidRDefault="0005106C" w:rsidP="0005106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06C" w:rsidRPr="0005106C" w:rsidRDefault="0005106C" w:rsidP="00051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территории - участки, иные части территории поселения (города),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 ж объектов административного, делового назначения;</w:t>
      </w:r>
      <w:proofErr w:type="gramEnd"/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«Пугачевское», (далее - уполномоченные органы).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в отношении дворовых и общественных территорий, прошедших  отбор.</w:t>
      </w:r>
    </w:p>
    <w:p w:rsidR="0005106C" w:rsidRPr="0005106C" w:rsidRDefault="0005106C" w:rsidP="00051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дизайн - прое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текстовое и визуальное описание проекта благоустройства и перечень элементов благоустройства, предполагаемых к размещению на соответствующей территории.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работ.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Разработка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утвержденных местных нормативов градостроительного проектирования.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Осмотр дворовой или общественной территории, предлагаемой к благоустройству.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Разработка дизайн - проекта;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согласование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Утверждение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муниципальной комиссией.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двух календарных дней с момента его получения и представить в Администрацию муниципального образования «Пугачевское» согласованный дизайн-проект или мотивированные замечания.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урегулирования замечаний, Администрация муниципального образования «Пугачевское»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дизайн-проекту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06C" w:rsidRPr="0005106C" w:rsidRDefault="0005106C" w:rsidP="0005106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05106C" w:rsidRPr="0005106C" w:rsidRDefault="0005106C" w:rsidP="0005106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510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формой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0510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участия граждан понимается доля финансового участия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финансирования.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05106C" w:rsidRPr="0005106C" w:rsidRDefault="0005106C" w:rsidP="0005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0510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05106C" w:rsidRPr="0005106C" w:rsidRDefault="0005106C" w:rsidP="00051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</w:t>
      </w:r>
      <w:proofErr w:type="gramStart"/>
      <w:r w:rsidRPr="000510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Pr="00051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510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Управлении Федерального казначейства по Удмуртской Республики 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Расходование аккумулированных денежных средств осуществляется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домов, дворовые территории которых подлежат благоустройству.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</w:t>
      </w: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соответствии с бюджетным законодательством.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Уполномоченное лицо обеспечивает возврат аккумулированных денежных средств заинтересованным лицам: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20 рабочих дней при условии возникновения обстоятельств непреодолимой силы.</w:t>
      </w: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sz w:val="26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06C" w:rsidRPr="0005106C" w:rsidRDefault="0005106C" w:rsidP="0005106C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sz w:val="26"/>
          <w:szCs w:val="24"/>
          <w:lang w:eastAsia="ru-RU"/>
        </w:rPr>
      </w:pPr>
    </w:p>
    <w:p w:rsidR="0005106C" w:rsidRPr="0005106C" w:rsidRDefault="0005106C" w:rsidP="00051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EF0" w:rsidRDefault="00574EF0"/>
    <w:sectPr w:rsidR="0057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">
    <w:nsid w:val="3E6B4D4D"/>
    <w:multiLevelType w:val="hybridMultilevel"/>
    <w:tmpl w:val="08B6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822FD"/>
    <w:multiLevelType w:val="hybridMultilevel"/>
    <w:tmpl w:val="E294CA78"/>
    <w:lvl w:ilvl="0" w:tplc="9FA2A5E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D03E60"/>
    <w:multiLevelType w:val="hybridMultilevel"/>
    <w:tmpl w:val="87E6F674"/>
    <w:lvl w:ilvl="0" w:tplc="5608068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65"/>
    <w:rsid w:val="0005106C"/>
    <w:rsid w:val="00574EF0"/>
    <w:rsid w:val="00F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106C"/>
    <w:pPr>
      <w:keepNext/>
      <w:tabs>
        <w:tab w:val="left" w:pos="1985"/>
      </w:tabs>
      <w:spacing w:after="0" w:line="240" w:lineRule="auto"/>
      <w:ind w:right="-8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10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5106C"/>
    <w:pPr>
      <w:keepNext/>
      <w:tabs>
        <w:tab w:val="num" w:pos="3240"/>
      </w:tabs>
      <w:suppressAutoHyphens/>
      <w:spacing w:after="0" w:line="240" w:lineRule="auto"/>
      <w:ind w:left="3240" w:right="999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106C"/>
    <w:pPr>
      <w:keepNext/>
      <w:tabs>
        <w:tab w:val="num" w:pos="3960"/>
      </w:tabs>
      <w:suppressAutoHyphens/>
      <w:spacing w:after="0" w:line="240" w:lineRule="auto"/>
      <w:ind w:left="3960" w:right="999"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5106C"/>
    <w:pPr>
      <w:keepNext/>
      <w:tabs>
        <w:tab w:val="num" w:pos="4680"/>
      </w:tabs>
      <w:suppressAutoHyphens/>
      <w:spacing w:after="0" w:line="240" w:lineRule="auto"/>
      <w:ind w:left="-540" w:right="999" w:hanging="1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1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1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06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5106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5106C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5106C"/>
  </w:style>
  <w:style w:type="paragraph" w:styleId="a3">
    <w:name w:val="Title"/>
    <w:basedOn w:val="a"/>
    <w:link w:val="a4"/>
    <w:qFormat/>
    <w:rsid w:val="00051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10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6"/>
    <w:qFormat/>
    <w:rsid w:val="000510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5"/>
    <w:rsid w:val="0005106C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05106C"/>
    <w:rPr>
      <w:i/>
      <w:iCs/>
    </w:rPr>
  </w:style>
  <w:style w:type="paragraph" w:styleId="a8">
    <w:name w:val="Balloon Text"/>
    <w:basedOn w:val="a"/>
    <w:link w:val="a9"/>
    <w:uiPriority w:val="99"/>
    <w:unhideWhenUsed/>
    <w:rsid w:val="00051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51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051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99"/>
    <w:rsid w:val="0005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5106C"/>
    <w:rPr>
      <w:color w:val="0000FF"/>
      <w:u w:val="none"/>
    </w:rPr>
  </w:style>
  <w:style w:type="paragraph" w:customStyle="1" w:styleId="ListParagraph">
    <w:name w:val="List Paragraph"/>
    <w:basedOn w:val="a"/>
    <w:link w:val="ListParagraphChar"/>
    <w:uiPriority w:val="34"/>
    <w:qFormat/>
    <w:rsid w:val="0005106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0510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051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link w:val="ae"/>
    <w:uiPriority w:val="99"/>
    <w:locked/>
    <w:rsid w:val="0005106C"/>
    <w:rPr>
      <w:sz w:val="24"/>
    </w:rPr>
  </w:style>
  <w:style w:type="paragraph" w:styleId="ae">
    <w:name w:val="header"/>
    <w:basedOn w:val="a"/>
    <w:link w:val="ad"/>
    <w:uiPriority w:val="99"/>
    <w:rsid w:val="0005106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05106C"/>
  </w:style>
  <w:style w:type="character" w:customStyle="1" w:styleId="af">
    <w:name w:val="Нижний колонтитул Знак"/>
    <w:link w:val="af0"/>
    <w:uiPriority w:val="99"/>
    <w:locked/>
    <w:rsid w:val="0005106C"/>
    <w:rPr>
      <w:sz w:val="24"/>
    </w:rPr>
  </w:style>
  <w:style w:type="paragraph" w:styleId="af0">
    <w:name w:val="footer"/>
    <w:basedOn w:val="a"/>
    <w:link w:val="af"/>
    <w:uiPriority w:val="99"/>
    <w:rsid w:val="0005106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5106C"/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5106C"/>
    <w:rPr>
      <w:rFonts w:ascii="Times New Roman CYR" w:hAnsi="Times New Roman CYR"/>
      <w:b/>
      <w:i/>
      <w:sz w:val="28"/>
      <w:lang w:val="x-none" w:eastAsia="en-US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05106C"/>
    <w:rPr>
      <w:rFonts w:ascii="Cambria" w:hAnsi="Cambria" w:cs="Cambria"/>
      <w:sz w:val="24"/>
      <w:szCs w:val="24"/>
    </w:rPr>
  </w:style>
  <w:style w:type="character" w:customStyle="1" w:styleId="14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5106C"/>
    <w:rPr>
      <w:rFonts w:ascii="Cambria" w:hAnsi="Cambria"/>
      <w:i/>
      <w:color w:val="4F81BD"/>
      <w:spacing w:val="15"/>
      <w:sz w:val="24"/>
    </w:rPr>
  </w:style>
  <w:style w:type="character" w:customStyle="1" w:styleId="BalloonTextChar">
    <w:name w:val="Balloon Text Char"/>
    <w:locked/>
    <w:rsid w:val="0005106C"/>
    <w:rPr>
      <w:rFonts w:ascii="Tahoma" w:hAnsi="Tahoma"/>
      <w:sz w:val="16"/>
    </w:rPr>
  </w:style>
  <w:style w:type="paragraph" w:customStyle="1" w:styleId="tac">
    <w:name w:val="tac"/>
    <w:basedOn w:val="a"/>
    <w:uiPriority w:val="99"/>
    <w:rsid w:val="000510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uiPriority w:val="99"/>
    <w:rsid w:val="0005106C"/>
    <w:pPr>
      <w:spacing w:before="240" w:after="240" w:line="240" w:lineRule="auto"/>
      <w:ind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">
    <w:name w:val="tal"/>
    <w:basedOn w:val="a"/>
    <w:uiPriority w:val="99"/>
    <w:rsid w:val="000510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3">
    <w:name w:val="fs13"/>
    <w:basedOn w:val="a"/>
    <w:uiPriority w:val="99"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basedOn w:val="a"/>
    <w:uiPriority w:val="99"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05106C"/>
    <w:rPr>
      <w:rFonts w:cs="Times New Roman"/>
      <w:b/>
      <w:bCs/>
    </w:rPr>
  </w:style>
  <w:style w:type="paragraph" w:styleId="af2">
    <w:name w:val="annotation text"/>
    <w:basedOn w:val="a"/>
    <w:link w:val="af3"/>
    <w:uiPriority w:val="99"/>
    <w:semiHidden/>
    <w:rsid w:val="0005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1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510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10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05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 Знак"/>
    <w:link w:val="ConsPlusNormal0"/>
    <w:locked/>
    <w:rsid w:val="0005106C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basedOn w:val="a"/>
    <w:uiPriority w:val="99"/>
    <w:qFormat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1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5106C"/>
    <w:rPr>
      <w:rFonts w:cs="Times New Roman"/>
      <w:sz w:val="24"/>
      <w:szCs w:val="24"/>
      <w:lang w:val="x-none" w:eastAsia="ar-SA" w:bidi="ar-SA"/>
    </w:rPr>
  </w:style>
  <w:style w:type="paragraph" w:styleId="af6">
    <w:name w:val="Body Text"/>
    <w:basedOn w:val="a"/>
    <w:link w:val="af7"/>
    <w:uiPriority w:val="99"/>
    <w:rsid w:val="000510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0510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3Char">
    <w:name w:val="Heading 3 Char"/>
    <w:uiPriority w:val="99"/>
    <w:locked/>
    <w:rsid w:val="0005106C"/>
    <w:rPr>
      <w:rFonts w:eastAsia="Times New Roman"/>
      <w:sz w:val="24"/>
      <w:lang w:val="ru-RU" w:eastAsia="ar-SA" w:bidi="ar-SA"/>
    </w:rPr>
  </w:style>
  <w:style w:type="character" w:customStyle="1" w:styleId="FontStyle243">
    <w:name w:val="Font Style243"/>
    <w:uiPriority w:val="99"/>
    <w:rsid w:val="0005106C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05106C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link w:val="af8"/>
    <w:uiPriority w:val="99"/>
    <w:qFormat/>
    <w:rsid w:val="0005106C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Абзац списка Знак"/>
    <w:link w:val="15"/>
    <w:uiPriority w:val="99"/>
    <w:locked/>
    <w:rsid w:val="0005106C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uiPriority w:val="99"/>
    <w:rsid w:val="0005106C"/>
    <w:rPr>
      <w:rFonts w:ascii="HiddenHorzOCR-Identity-H" w:hAnsi="HiddenHorzOCR-Identity-H"/>
      <w:color w:val="000000"/>
      <w:sz w:val="20"/>
    </w:rPr>
  </w:style>
  <w:style w:type="character" w:customStyle="1" w:styleId="fontstyle21">
    <w:name w:val="fontstyle21"/>
    <w:uiPriority w:val="99"/>
    <w:rsid w:val="0005106C"/>
    <w:rPr>
      <w:rFonts w:ascii="Times-Roman" w:hAnsi="Times-Roman"/>
      <w:color w:val="000000"/>
      <w:sz w:val="28"/>
    </w:rPr>
  </w:style>
  <w:style w:type="paragraph" w:styleId="af9">
    <w:name w:val="Body Text Indent"/>
    <w:basedOn w:val="a"/>
    <w:link w:val="afa"/>
    <w:uiPriority w:val="99"/>
    <w:rsid w:val="0005106C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5106C"/>
    <w:rPr>
      <w:rFonts w:ascii="Journal" w:eastAsia="Times New Roman" w:hAnsi="Journal" w:cs="Times New Roman"/>
      <w:sz w:val="26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5106C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5106C"/>
    <w:rPr>
      <w:rFonts w:ascii="Journal" w:eastAsia="Times New Roman" w:hAnsi="Journal" w:cs="Times New Roman"/>
      <w:sz w:val="24"/>
      <w:szCs w:val="20"/>
      <w:lang w:eastAsia="ru-RU"/>
    </w:rPr>
  </w:style>
  <w:style w:type="character" w:styleId="afb">
    <w:name w:val="page number"/>
    <w:basedOn w:val="a0"/>
    <w:uiPriority w:val="99"/>
    <w:rsid w:val="0005106C"/>
  </w:style>
  <w:style w:type="paragraph" w:customStyle="1" w:styleId="afc">
    <w:name w:val="Таблицы (моноширинный)"/>
    <w:basedOn w:val="a"/>
    <w:next w:val="a"/>
    <w:uiPriority w:val="99"/>
    <w:rsid w:val="0005106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051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51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rsid w:val="000510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05106C"/>
    <w:rPr>
      <w:rFonts w:ascii="Calibri" w:eastAsia="Times New Roman" w:hAnsi="Calibri" w:cs="Times New Roman"/>
      <w:sz w:val="20"/>
      <w:szCs w:val="20"/>
      <w:lang w:eastAsia="ar-SA"/>
    </w:rPr>
  </w:style>
  <w:style w:type="paragraph" w:styleId="24">
    <w:name w:val="Body Text 2"/>
    <w:basedOn w:val="a"/>
    <w:link w:val="25"/>
    <w:uiPriority w:val="99"/>
    <w:rsid w:val="000510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51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05106C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5106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f1">
    <w:name w:val="Block Text"/>
    <w:basedOn w:val="a"/>
    <w:uiPriority w:val="99"/>
    <w:rsid w:val="0005106C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05106C"/>
  </w:style>
  <w:style w:type="paragraph" w:customStyle="1" w:styleId="16">
    <w:name w:val="Без интервала1"/>
    <w:rsid w:val="00051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2">
    <w:name w:val="Document Map"/>
    <w:basedOn w:val="a"/>
    <w:link w:val="aff3"/>
    <w:semiHidden/>
    <w:rsid w:val="000510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510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0">
    <w:name w:val="A5"/>
    <w:rsid w:val="0005106C"/>
    <w:rPr>
      <w:rFonts w:ascii="PT Sans" w:hAnsi="PT Sans"/>
      <w:color w:val="000000"/>
      <w:sz w:val="32"/>
    </w:rPr>
  </w:style>
  <w:style w:type="character" w:customStyle="1" w:styleId="w">
    <w:name w:val="w"/>
    <w:rsid w:val="0005106C"/>
    <w:rPr>
      <w:rFonts w:cs="Times New Roman"/>
    </w:rPr>
  </w:style>
  <w:style w:type="character" w:styleId="aff4">
    <w:name w:val="FollowedHyperlink"/>
    <w:uiPriority w:val="99"/>
    <w:semiHidden/>
    <w:rsid w:val="0005106C"/>
    <w:rPr>
      <w:color w:val="800000"/>
      <w:u w:val="single"/>
    </w:rPr>
  </w:style>
  <w:style w:type="character" w:customStyle="1" w:styleId="BalloonTextChar1">
    <w:name w:val="Balloon Text Char1"/>
    <w:uiPriority w:val="99"/>
    <w:semiHidden/>
    <w:locked/>
    <w:rsid w:val="0005106C"/>
    <w:rPr>
      <w:sz w:val="2"/>
      <w:szCs w:val="2"/>
    </w:rPr>
  </w:style>
  <w:style w:type="character" w:customStyle="1" w:styleId="17">
    <w:name w:val="Текст выноски Знак1"/>
    <w:uiPriority w:val="99"/>
    <w:semiHidden/>
    <w:rsid w:val="0005106C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semiHidden/>
    <w:locked/>
    <w:rsid w:val="0005106C"/>
    <w:rPr>
      <w:sz w:val="24"/>
      <w:szCs w:val="24"/>
    </w:rPr>
  </w:style>
  <w:style w:type="character" w:customStyle="1" w:styleId="FooterChar1">
    <w:name w:val="Footer Char1"/>
    <w:uiPriority w:val="99"/>
    <w:semiHidden/>
    <w:locked/>
    <w:rsid w:val="0005106C"/>
    <w:rPr>
      <w:sz w:val="24"/>
      <w:szCs w:val="24"/>
    </w:rPr>
  </w:style>
  <w:style w:type="character" w:styleId="aff5">
    <w:name w:val="annotation reference"/>
    <w:uiPriority w:val="99"/>
    <w:semiHidden/>
    <w:rsid w:val="0005106C"/>
    <w:rPr>
      <w:sz w:val="16"/>
      <w:szCs w:val="16"/>
    </w:rPr>
  </w:style>
  <w:style w:type="paragraph" w:styleId="aff6">
    <w:name w:val="List Paragraph"/>
    <w:basedOn w:val="a"/>
    <w:link w:val="18"/>
    <w:uiPriority w:val="99"/>
    <w:qFormat/>
    <w:rsid w:val="000510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5106C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05106C"/>
  </w:style>
  <w:style w:type="paragraph" w:styleId="aff7">
    <w:name w:val="No Spacing"/>
    <w:uiPriority w:val="99"/>
    <w:qFormat/>
    <w:rsid w:val="0005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8">
    <w:name w:val="Абзац_пост Знак Знак"/>
    <w:basedOn w:val="a"/>
    <w:uiPriority w:val="99"/>
    <w:rsid w:val="0005106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5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5106C"/>
  </w:style>
  <w:style w:type="table" w:customStyle="1" w:styleId="19">
    <w:name w:val="Сетка таблицы1"/>
    <w:basedOn w:val="a1"/>
    <w:next w:val="aa"/>
    <w:uiPriority w:val="99"/>
    <w:rsid w:val="00051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Абзац списка Знак1"/>
    <w:link w:val="aff6"/>
    <w:uiPriority w:val="99"/>
    <w:locked/>
    <w:rsid w:val="000510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5106C"/>
  </w:style>
  <w:style w:type="numbering" w:customStyle="1" w:styleId="1111">
    <w:name w:val="Нет списка1111"/>
    <w:next w:val="a2"/>
    <w:uiPriority w:val="99"/>
    <w:semiHidden/>
    <w:unhideWhenUsed/>
    <w:rsid w:val="0005106C"/>
  </w:style>
  <w:style w:type="numbering" w:customStyle="1" w:styleId="11111">
    <w:name w:val="Нет списка11111"/>
    <w:next w:val="a2"/>
    <w:uiPriority w:val="99"/>
    <w:semiHidden/>
    <w:unhideWhenUsed/>
    <w:rsid w:val="0005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106C"/>
    <w:pPr>
      <w:keepNext/>
      <w:tabs>
        <w:tab w:val="left" w:pos="1985"/>
      </w:tabs>
      <w:spacing w:after="0" w:line="240" w:lineRule="auto"/>
      <w:ind w:right="-8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10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5106C"/>
    <w:pPr>
      <w:keepNext/>
      <w:tabs>
        <w:tab w:val="num" w:pos="3240"/>
      </w:tabs>
      <w:suppressAutoHyphens/>
      <w:spacing w:after="0" w:line="240" w:lineRule="auto"/>
      <w:ind w:left="3240" w:right="999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106C"/>
    <w:pPr>
      <w:keepNext/>
      <w:tabs>
        <w:tab w:val="num" w:pos="3960"/>
      </w:tabs>
      <w:suppressAutoHyphens/>
      <w:spacing w:after="0" w:line="240" w:lineRule="auto"/>
      <w:ind w:left="3960" w:right="999"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5106C"/>
    <w:pPr>
      <w:keepNext/>
      <w:tabs>
        <w:tab w:val="num" w:pos="4680"/>
      </w:tabs>
      <w:suppressAutoHyphens/>
      <w:spacing w:after="0" w:line="240" w:lineRule="auto"/>
      <w:ind w:left="-540" w:right="999" w:hanging="1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1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1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06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5106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5106C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5106C"/>
  </w:style>
  <w:style w:type="paragraph" w:styleId="a3">
    <w:name w:val="Title"/>
    <w:basedOn w:val="a"/>
    <w:link w:val="a4"/>
    <w:qFormat/>
    <w:rsid w:val="00051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10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6"/>
    <w:qFormat/>
    <w:rsid w:val="000510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5"/>
    <w:rsid w:val="0005106C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05106C"/>
    <w:rPr>
      <w:i/>
      <w:iCs/>
    </w:rPr>
  </w:style>
  <w:style w:type="paragraph" w:styleId="a8">
    <w:name w:val="Balloon Text"/>
    <w:basedOn w:val="a"/>
    <w:link w:val="a9"/>
    <w:uiPriority w:val="99"/>
    <w:unhideWhenUsed/>
    <w:rsid w:val="00051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51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051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99"/>
    <w:rsid w:val="0005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5106C"/>
    <w:rPr>
      <w:color w:val="0000FF"/>
      <w:u w:val="none"/>
    </w:rPr>
  </w:style>
  <w:style w:type="paragraph" w:customStyle="1" w:styleId="ListParagraph">
    <w:name w:val="List Paragraph"/>
    <w:basedOn w:val="a"/>
    <w:link w:val="ListParagraphChar"/>
    <w:uiPriority w:val="34"/>
    <w:qFormat/>
    <w:rsid w:val="0005106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0510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051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link w:val="ae"/>
    <w:uiPriority w:val="99"/>
    <w:locked/>
    <w:rsid w:val="0005106C"/>
    <w:rPr>
      <w:sz w:val="24"/>
    </w:rPr>
  </w:style>
  <w:style w:type="paragraph" w:styleId="ae">
    <w:name w:val="header"/>
    <w:basedOn w:val="a"/>
    <w:link w:val="ad"/>
    <w:uiPriority w:val="99"/>
    <w:rsid w:val="0005106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05106C"/>
  </w:style>
  <w:style w:type="character" w:customStyle="1" w:styleId="af">
    <w:name w:val="Нижний колонтитул Знак"/>
    <w:link w:val="af0"/>
    <w:uiPriority w:val="99"/>
    <w:locked/>
    <w:rsid w:val="0005106C"/>
    <w:rPr>
      <w:sz w:val="24"/>
    </w:rPr>
  </w:style>
  <w:style w:type="paragraph" w:styleId="af0">
    <w:name w:val="footer"/>
    <w:basedOn w:val="a"/>
    <w:link w:val="af"/>
    <w:uiPriority w:val="99"/>
    <w:rsid w:val="0005106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5106C"/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5106C"/>
    <w:rPr>
      <w:rFonts w:ascii="Times New Roman CYR" w:hAnsi="Times New Roman CYR"/>
      <w:b/>
      <w:i/>
      <w:sz w:val="28"/>
      <w:lang w:val="x-none" w:eastAsia="en-US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05106C"/>
    <w:rPr>
      <w:rFonts w:ascii="Cambria" w:hAnsi="Cambria" w:cs="Cambria"/>
      <w:sz w:val="24"/>
      <w:szCs w:val="24"/>
    </w:rPr>
  </w:style>
  <w:style w:type="character" w:customStyle="1" w:styleId="14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5106C"/>
    <w:rPr>
      <w:rFonts w:ascii="Cambria" w:hAnsi="Cambria"/>
      <w:i/>
      <w:color w:val="4F81BD"/>
      <w:spacing w:val="15"/>
      <w:sz w:val="24"/>
    </w:rPr>
  </w:style>
  <w:style w:type="character" w:customStyle="1" w:styleId="BalloonTextChar">
    <w:name w:val="Balloon Text Char"/>
    <w:locked/>
    <w:rsid w:val="0005106C"/>
    <w:rPr>
      <w:rFonts w:ascii="Tahoma" w:hAnsi="Tahoma"/>
      <w:sz w:val="16"/>
    </w:rPr>
  </w:style>
  <w:style w:type="paragraph" w:customStyle="1" w:styleId="tac">
    <w:name w:val="tac"/>
    <w:basedOn w:val="a"/>
    <w:uiPriority w:val="99"/>
    <w:rsid w:val="000510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ar"/>
    <w:basedOn w:val="a"/>
    <w:uiPriority w:val="99"/>
    <w:rsid w:val="0005106C"/>
    <w:pPr>
      <w:spacing w:before="240" w:after="240" w:line="240" w:lineRule="auto"/>
      <w:ind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">
    <w:name w:val="tal"/>
    <w:basedOn w:val="a"/>
    <w:uiPriority w:val="99"/>
    <w:rsid w:val="000510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13">
    <w:name w:val="fs13"/>
    <w:basedOn w:val="a"/>
    <w:uiPriority w:val="99"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basedOn w:val="a"/>
    <w:uiPriority w:val="99"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05106C"/>
    <w:rPr>
      <w:rFonts w:cs="Times New Roman"/>
      <w:b/>
      <w:bCs/>
    </w:rPr>
  </w:style>
  <w:style w:type="paragraph" w:styleId="af2">
    <w:name w:val="annotation text"/>
    <w:basedOn w:val="a"/>
    <w:link w:val="af3"/>
    <w:uiPriority w:val="99"/>
    <w:semiHidden/>
    <w:rsid w:val="0005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1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510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10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05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 Знак"/>
    <w:link w:val="ConsPlusNormal0"/>
    <w:locked/>
    <w:rsid w:val="0005106C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basedOn w:val="a"/>
    <w:uiPriority w:val="99"/>
    <w:qFormat/>
    <w:rsid w:val="0005106C"/>
    <w:pPr>
      <w:spacing w:before="240" w:after="24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1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5106C"/>
    <w:rPr>
      <w:rFonts w:cs="Times New Roman"/>
      <w:sz w:val="24"/>
      <w:szCs w:val="24"/>
      <w:lang w:val="x-none" w:eastAsia="ar-SA" w:bidi="ar-SA"/>
    </w:rPr>
  </w:style>
  <w:style w:type="paragraph" w:styleId="af6">
    <w:name w:val="Body Text"/>
    <w:basedOn w:val="a"/>
    <w:link w:val="af7"/>
    <w:uiPriority w:val="99"/>
    <w:rsid w:val="000510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0510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3Char">
    <w:name w:val="Heading 3 Char"/>
    <w:uiPriority w:val="99"/>
    <w:locked/>
    <w:rsid w:val="0005106C"/>
    <w:rPr>
      <w:rFonts w:eastAsia="Times New Roman"/>
      <w:sz w:val="24"/>
      <w:lang w:val="ru-RU" w:eastAsia="ar-SA" w:bidi="ar-SA"/>
    </w:rPr>
  </w:style>
  <w:style w:type="character" w:customStyle="1" w:styleId="FontStyle243">
    <w:name w:val="Font Style243"/>
    <w:uiPriority w:val="99"/>
    <w:rsid w:val="0005106C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05106C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link w:val="af8"/>
    <w:uiPriority w:val="99"/>
    <w:qFormat/>
    <w:rsid w:val="0005106C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Абзац списка Знак"/>
    <w:link w:val="15"/>
    <w:uiPriority w:val="99"/>
    <w:locked/>
    <w:rsid w:val="0005106C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uiPriority w:val="99"/>
    <w:rsid w:val="0005106C"/>
    <w:rPr>
      <w:rFonts w:ascii="HiddenHorzOCR-Identity-H" w:hAnsi="HiddenHorzOCR-Identity-H"/>
      <w:color w:val="000000"/>
      <w:sz w:val="20"/>
    </w:rPr>
  </w:style>
  <w:style w:type="character" w:customStyle="1" w:styleId="fontstyle21">
    <w:name w:val="fontstyle21"/>
    <w:uiPriority w:val="99"/>
    <w:rsid w:val="0005106C"/>
    <w:rPr>
      <w:rFonts w:ascii="Times-Roman" w:hAnsi="Times-Roman"/>
      <w:color w:val="000000"/>
      <w:sz w:val="28"/>
    </w:rPr>
  </w:style>
  <w:style w:type="paragraph" w:styleId="af9">
    <w:name w:val="Body Text Indent"/>
    <w:basedOn w:val="a"/>
    <w:link w:val="afa"/>
    <w:uiPriority w:val="99"/>
    <w:rsid w:val="0005106C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5106C"/>
    <w:rPr>
      <w:rFonts w:ascii="Journal" w:eastAsia="Times New Roman" w:hAnsi="Journal" w:cs="Times New Roman"/>
      <w:sz w:val="26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5106C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5106C"/>
    <w:rPr>
      <w:rFonts w:ascii="Journal" w:eastAsia="Times New Roman" w:hAnsi="Journal" w:cs="Times New Roman"/>
      <w:sz w:val="24"/>
      <w:szCs w:val="20"/>
      <w:lang w:eastAsia="ru-RU"/>
    </w:rPr>
  </w:style>
  <w:style w:type="character" w:styleId="afb">
    <w:name w:val="page number"/>
    <w:basedOn w:val="a0"/>
    <w:uiPriority w:val="99"/>
    <w:rsid w:val="0005106C"/>
  </w:style>
  <w:style w:type="paragraph" w:customStyle="1" w:styleId="afc">
    <w:name w:val="Таблицы (моноширинный)"/>
    <w:basedOn w:val="a"/>
    <w:next w:val="a"/>
    <w:uiPriority w:val="99"/>
    <w:rsid w:val="0005106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051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51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rsid w:val="000510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05106C"/>
    <w:rPr>
      <w:rFonts w:ascii="Calibri" w:eastAsia="Times New Roman" w:hAnsi="Calibri" w:cs="Times New Roman"/>
      <w:sz w:val="20"/>
      <w:szCs w:val="20"/>
      <w:lang w:eastAsia="ar-SA"/>
    </w:rPr>
  </w:style>
  <w:style w:type="paragraph" w:styleId="24">
    <w:name w:val="Body Text 2"/>
    <w:basedOn w:val="a"/>
    <w:link w:val="25"/>
    <w:uiPriority w:val="99"/>
    <w:rsid w:val="000510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51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05106C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5106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f1">
    <w:name w:val="Block Text"/>
    <w:basedOn w:val="a"/>
    <w:uiPriority w:val="99"/>
    <w:rsid w:val="0005106C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05106C"/>
  </w:style>
  <w:style w:type="paragraph" w:customStyle="1" w:styleId="16">
    <w:name w:val="Без интервала1"/>
    <w:rsid w:val="00051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2">
    <w:name w:val="Document Map"/>
    <w:basedOn w:val="a"/>
    <w:link w:val="aff3"/>
    <w:semiHidden/>
    <w:rsid w:val="000510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510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0">
    <w:name w:val="A5"/>
    <w:rsid w:val="0005106C"/>
    <w:rPr>
      <w:rFonts w:ascii="PT Sans" w:hAnsi="PT Sans"/>
      <w:color w:val="000000"/>
      <w:sz w:val="32"/>
    </w:rPr>
  </w:style>
  <w:style w:type="character" w:customStyle="1" w:styleId="w">
    <w:name w:val="w"/>
    <w:rsid w:val="0005106C"/>
    <w:rPr>
      <w:rFonts w:cs="Times New Roman"/>
    </w:rPr>
  </w:style>
  <w:style w:type="character" w:styleId="aff4">
    <w:name w:val="FollowedHyperlink"/>
    <w:uiPriority w:val="99"/>
    <w:semiHidden/>
    <w:rsid w:val="0005106C"/>
    <w:rPr>
      <w:color w:val="800000"/>
      <w:u w:val="single"/>
    </w:rPr>
  </w:style>
  <w:style w:type="character" w:customStyle="1" w:styleId="BalloonTextChar1">
    <w:name w:val="Balloon Text Char1"/>
    <w:uiPriority w:val="99"/>
    <w:semiHidden/>
    <w:locked/>
    <w:rsid w:val="0005106C"/>
    <w:rPr>
      <w:sz w:val="2"/>
      <w:szCs w:val="2"/>
    </w:rPr>
  </w:style>
  <w:style w:type="character" w:customStyle="1" w:styleId="17">
    <w:name w:val="Текст выноски Знак1"/>
    <w:uiPriority w:val="99"/>
    <w:semiHidden/>
    <w:rsid w:val="0005106C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semiHidden/>
    <w:locked/>
    <w:rsid w:val="0005106C"/>
    <w:rPr>
      <w:sz w:val="24"/>
      <w:szCs w:val="24"/>
    </w:rPr>
  </w:style>
  <w:style w:type="character" w:customStyle="1" w:styleId="FooterChar1">
    <w:name w:val="Footer Char1"/>
    <w:uiPriority w:val="99"/>
    <w:semiHidden/>
    <w:locked/>
    <w:rsid w:val="0005106C"/>
    <w:rPr>
      <w:sz w:val="24"/>
      <w:szCs w:val="24"/>
    </w:rPr>
  </w:style>
  <w:style w:type="character" w:styleId="aff5">
    <w:name w:val="annotation reference"/>
    <w:uiPriority w:val="99"/>
    <w:semiHidden/>
    <w:rsid w:val="0005106C"/>
    <w:rPr>
      <w:sz w:val="16"/>
      <w:szCs w:val="16"/>
    </w:rPr>
  </w:style>
  <w:style w:type="paragraph" w:styleId="aff6">
    <w:name w:val="List Paragraph"/>
    <w:basedOn w:val="a"/>
    <w:link w:val="18"/>
    <w:uiPriority w:val="99"/>
    <w:qFormat/>
    <w:rsid w:val="000510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05106C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05106C"/>
  </w:style>
  <w:style w:type="paragraph" w:styleId="aff7">
    <w:name w:val="No Spacing"/>
    <w:uiPriority w:val="99"/>
    <w:qFormat/>
    <w:rsid w:val="0005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8">
    <w:name w:val="Абзац_пост Знак Знак"/>
    <w:basedOn w:val="a"/>
    <w:uiPriority w:val="99"/>
    <w:rsid w:val="0005106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5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5106C"/>
  </w:style>
  <w:style w:type="table" w:customStyle="1" w:styleId="19">
    <w:name w:val="Сетка таблицы1"/>
    <w:basedOn w:val="a1"/>
    <w:next w:val="aa"/>
    <w:uiPriority w:val="99"/>
    <w:rsid w:val="00051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Абзац списка Знак1"/>
    <w:link w:val="aff6"/>
    <w:uiPriority w:val="99"/>
    <w:locked/>
    <w:rsid w:val="000510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5106C"/>
  </w:style>
  <w:style w:type="numbering" w:customStyle="1" w:styleId="1111">
    <w:name w:val="Нет списка1111"/>
    <w:next w:val="a2"/>
    <w:uiPriority w:val="99"/>
    <w:semiHidden/>
    <w:unhideWhenUsed/>
    <w:rsid w:val="0005106C"/>
  </w:style>
  <w:style w:type="numbering" w:customStyle="1" w:styleId="11111">
    <w:name w:val="Нет списка11111"/>
    <w:next w:val="a2"/>
    <w:uiPriority w:val="99"/>
    <w:semiHidden/>
    <w:unhideWhenUsed/>
    <w:rsid w:val="0005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10274</Words>
  <Characters>58562</Characters>
  <Application>Microsoft Office Word</Application>
  <DocSecurity>0</DocSecurity>
  <Lines>488</Lines>
  <Paragraphs>137</Paragraphs>
  <ScaleCrop>false</ScaleCrop>
  <Company/>
  <LinksUpToDate>false</LinksUpToDate>
  <CharactersWithSpaces>68699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2020-07-28T04:46:00Z</dcterms:created>
  <dcterms:modified xsi:type="dcterms:W3CDTF">2020-07-28T04:47:00Z</dcterms:modified>
</cp:coreProperties>
</file>