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кциона по продаже муниципального имущества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Pr="00DC6756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806010"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r w:rsidRPr="00DC6756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r w:rsidR="00806010"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 или органа</w:t>
      </w:r>
      <w:r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самоуправления, принявш</w:t>
      </w:r>
      <w:r w:rsidR="00806010" w:rsidRPr="00DC6756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DC6756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об условиях приватизации муниципального имущества, реквизиты указанного решения</w:t>
      </w:r>
      <w:proofErr w:type="gramEnd"/>
    </w:p>
    <w:p w:rsidR="00DC6756" w:rsidRDefault="00DC6756" w:rsidP="00DC6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«Муниципальный округ Малопургинский район Удмуртской Республики».</w:t>
      </w:r>
    </w:p>
    <w:p w:rsidR="00DC6756" w:rsidRDefault="00DC6756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C6756" w:rsidRPr="00DC6756" w:rsidRDefault="00DC6756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756" w:rsidRDefault="00DC6756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DC6756" w:rsidRDefault="00DC6756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DC6756" w:rsidRDefault="00D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56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указанного решения: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DC675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«Муниципальный округ Малопургинский район Удмуртской Республики» от </w:t>
      </w:r>
      <w:r>
        <w:rPr>
          <w:rFonts w:ascii="Times New Roman" w:hAnsi="Times New Roman" w:cs="Times New Roman"/>
          <w:sz w:val="24"/>
          <w:szCs w:val="24"/>
        </w:rPr>
        <w:t>19 апреля</w:t>
      </w:r>
      <w:r w:rsidRPr="00DC6756">
        <w:rPr>
          <w:rFonts w:ascii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sz w:val="24"/>
          <w:szCs w:val="24"/>
        </w:rPr>
        <w:t>02-10-1465</w:t>
      </w:r>
      <w:r w:rsidRPr="00DC675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DC6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собственника (балансодержателя): </w:t>
      </w:r>
      <w:r w:rsidR="003F4338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</w:t>
      </w:r>
      <w:r w:rsidR="002A01E3">
        <w:rPr>
          <w:rFonts w:ascii="Times New Roman" w:hAnsi="Times New Roman" w:cs="Times New Roman"/>
          <w:sz w:val="24"/>
          <w:szCs w:val="24"/>
        </w:rPr>
        <w:t xml:space="preserve"> (МБУ «Центр по комплексному обслуживанию МУ и ЕДДС»)</w:t>
      </w:r>
      <w:r w:rsidR="005022D3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10710A">
        <w:rPr>
          <w:rFonts w:ascii="Times New Roman" w:hAnsi="Times New Roman" w:cs="Times New Roman"/>
          <w:sz w:val="24"/>
          <w:szCs w:val="24"/>
        </w:rPr>
        <w:t xml:space="preserve"> </w:t>
      </w:r>
      <w:r w:rsidR="0010710A" w:rsidRPr="0010710A">
        <w:rPr>
          <w:rFonts w:ascii="Times New Roman" w:hAnsi="Times New Roman" w:cs="Times New Roman"/>
          <w:sz w:val="24"/>
          <w:szCs w:val="24"/>
        </w:rPr>
        <w:t>ckomu42577@yandex.ru</w:t>
      </w:r>
    </w:p>
    <w:p w:rsidR="006017D0" w:rsidRDefault="005022D3" w:rsidP="00DC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10710A">
        <w:rPr>
          <w:rFonts w:ascii="Times New Roman" w:hAnsi="Times New Roman" w:cs="Times New Roman"/>
          <w:sz w:val="24"/>
          <w:szCs w:val="24"/>
        </w:rPr>
        <w:t>8 (34138) 4-25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710A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DC675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10710A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="0010710A">
        <w:rPr>
          <w:rFonts w:ascii="Times New Roman" w:hAnsi="Times New Roman" w:cs="Times New Roman"/>
          <w:sz w:val="24"/>
          <w:szCs w:val="24"/>
        </w:rPr>
        <w:t>Шундаев</w:t>
      </w:r>
      <w:proofErr w:type="spellEnd"/>
      <w:r w:rsidR="0010710A">
        <w:rPr>
          <w:rFonts w:ascii="Times New Roman" w:hAnsi="Times New Roman" w:cs="Times New Roman"/>
          <w:sz w:val="24"/>
          <w:szCs w:val="24"/>
        </w:rPr>
        <w:t xml:space="preserve"> Вадим Германович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</w:t>
      </w:r>
      <w:r w:rsidR="002A01E3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E3" w:rsidRPr="002A01E3">
        <w:rPr>
          <w:rFonts w:ascii="Times New Roman" w:hAnsi="Times New Roman" w:cs="Times New Roman"/>
          <w:sz w:val="24"/>
          <w:szCs w:val="24"/>
        </w:rPr>
        <w:t>МБУ «Центр по комплексному обслуживанию МУ и ЕДДС»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 xml:space="preserve">от </w:t>
      </w:r>
      <w:r w:rsidR="002A01E3">
        <w:rPr>
          <w:rFonts w:ascii="Times New Roman" w:hAnsi="Times New Roman" w:cs="Times New Roman"/>
          <w:sz w:val="24"/>
          <w:szCs w:val="24"/>
        </w:rPr>
        <w:t>03</w:t>
      </w:r>
      <w:r w:rsidR="00A478D4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AE4851" w:rsidRPr="00997979">
        <w:rPr>
          <w:rFonts w:ascii="Times New Roman" w:hAnsi="Times New Roman" w:cs="Times New Roman"/>
          <w:sz w:val="24"/>
          <w:szCs w:val="24"/>
        </w:rPr>
        <w:t>ма</w:t>
      </w:r>
      <w:r w:rsidR="002A01E3">
        <w:rPr>
          <w:rFonts w:ascii="Times New Roman" w:hAnsi="Times New Roman" w:cs="Times New Roman"/>
          <w:sz w:val="24"/>
          <w:szCs w:val="24"/>
        </w:rPr>
        <w:t>я</w:t>
      </w:r>
      <w:r w:rsidRPr="0099797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997979">
        <w:rPr>
          <w:rFonts w:ascii="Times New Roman" w:hAnsi="Times New Roman" w:cs="Times New Roman"/>
          <w:sz w:val="24"/>
          <w:szCs w:val="24"/>
        </w:rPr>
        <w:t>2</w:t>
      </w:r>
      <w:r w:rsidR="00AE4851" w:rsidRPr="00997979">
        <w:rPr>
          <w:rFonts w:ascii="Times New Roman" w:hAnsi="Times New Roman" w:cs="Times New Roman"/>
          <w:sz w:val="24"/>
          <w:szCs w:val="24"/>
        </w:rPr>
        <w:t>3</w:t>
      </w:r>
      <w:r w:rsidRPr="0099797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4851" w:rsidRPr="00997979">
        <w:rPr>
          <w:rFonts w:ascii="Times New Roman" w:hAnsi="Times New Roman" w:cs="Times New Roman"/>
          <w:sz w:val="24"/>
          <w:szCs w:val="24"/>
        </w:rPr>
        <w:t>2</w:t>
      </w:r>
      <w:r w:rsidR="002A01E3">
        <w:rPr>
          <w:rFonts w:ascii="Times New Roman" w:hAnsi="Times New Roman" w:cs="Times New Roman"/>
          <w:sz w:val="24"/>
          <w:szCs w:val="24"/>
        </w:rPr>
        <w:t>3</w:t>
      </w:r>
      <w:r w:rsidR="00997979" w:rsidRPr="00997979">
        <w:rPr>
          <w:rFonts w:ascii="Times New Roman" w:hAnsi="Times New Roman" w:cs="Times New Roman"/>
          <w:sz w:val="24"/>
          <w:szCs w:val="24"/>
        </w:rPr>
        <w:t>5</w:t>
      </w:r>
      <w:r w:rsidRPr="00997979">
        <w:rPr>
          <w:rFonts w:ascii="Times New Roman" w:hAnsi="Times New Roman" w:cs="Times New Roman"/>
          <w:sz w:val="24"/>
          <w:szCs w:val="24"/>
        </w:rPr>
        <w:t xml:space="preserve"> «</w:t>
      </w:r>
      <w:r w:rsidRPr="00A22F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4851">
        <w:rPr>
          <w:rFonts w:ascii="Times New Roman" w:hAnsi="Times New Roman" w:cs="Times New Roman"/>
          <w:sz w:val="24"/>
          <w:szCs w:val="24"/>
        </w:rPr>
        <w:t>аименование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E3" w:rsidRPr="002A01E3">
        <w:rPr>
          <w:rFonts w:ascii="Times New Roman" w:hAnsi="Times New Roman" w:cs="Times New Roman"/>
          <w:sz w:val="24"/>
          <w:szCs w:val="24"/>
        </w:rPr>
        <w:t>автомобил</w:t>
      </w:r>
      <w:r w:rsidR="002A01E3">
        <w:rPr>
          <w:rFonts w:ascii="Times New Roman" w:hAnsi="Times New Roman" w:cs="Times New Roman"/>
          <w:sz w:val="24"/>
          <w:szCs w:val="24"/>
        </w:rPr>
        <w:t>ь легковой</w:t>
      </w:r>
      <w:r w:rsidR="002A01E3" w:rsidRPr="002A01E3">
        <w:rPr>
          <w:rFonts w:ascii="Times New Roman" w:hAnsi="Times New Roman" w:cs="Times New Roman"/>
          <w:sz w:val="24"/>
          <w:szCs w:val="24"/>
        </w:rPr>
        <w:t xml:space="preserve"> LADA GRANTA (LADA, 219010)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933C5C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2A01E3" w:rsidRPr="00E449FF" w:rsidTr="00BE5B38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662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C5C" w:rsidRPr="00933C5C">
              <w:rPr>
                <w:rFonts w:ascii="Times New Roman" w:hAnsi="Times New Roman" w:cs="Times New Roman"/>
                <w:sz w:val="24"/>
                <w:szCs w:val="24"/>
              </w:rPr>
              <w:t>ХТА219010</w:t>
            </w:r>
            <w:r w:rsidR="00662A04">
              <w:rPr>
                <w:rFonts w:ascii="Times New Roman" w:hAnsi="Times New Roman" w:cs="Times New Roman"/>
                <w:sz w:val="24"/>
                <w:szCs w:val="24"/>
              </w:rPr>
              <w:t>Н0489395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662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C5C" w:rsidRPr="00933C5C">
              <w:rPr>
                <w:rFonts w:ascii="Times New Roman" w:hAnsi="Times New Roman" w:cs="Times New Roman"/>
                <w:sz w:val="24"/>
                <w:szCs w:val="24"/>
              </w:rPr>
              <w:t>11186,</w:t>
            </w:r>
            <w:r w:rsidR="00662A04">
              <w:rPr>
                <w:rFonts w:ascii="Times New Roman" w:hAnsi="Times New Roman" w:cs="Times New Roman"/>
                <w:sz w:val="24"/>
                <w:szCs w:val="24"/>
              </w:rPr>
              <w:t xml:space="preserve"> 6595813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662A04" w:rsidP="0093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01E3"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C5C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662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33C5C">
              <w:rPr>
                <w:rFonts w:ascii="Times New Roman" w:hAnsi="Times New Roman"/>
                <w:sz w:val="24"/>
                <w:szCs w:val="24"/>
              </w:rPr>
              <w:t>1</w:t>
            </w:r>
            <w:r w:rsidR="00662A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662A04" w:rsidP="00BE5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Н0489395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933C5C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933C5C" w:rsidRDefault="002A01E3" w:rsidP="00933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>96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куб. см.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 xml:space="preserve">87,0 </w:t>
            </w:r>
            <w:proofErr w:type="spellStart"/>
            <w:r w:rsidR="00933C5C" w:rsidRPr="00933C5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="00933C5C" w:rsidRPr="00933C5C">
              <w:rPr>
                <w:rFonts w:ascii="Times New Roman" w:hAnsi="Times New Roman"/>
                <w:sz w:val="24"/>
                <w:szCs w:val="24"/>
              </w:rPr>
              <w:t>. (64,0 кВт)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933C5C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933C5C" w:rsidRDefault="002A01E3" w:rsidP="00933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>5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60 кг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93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C5C">
              <w:rPr>
                <w:rFonts w:ascii="Times New Roman" w:hAnsi="Times New Roman"/>
                <w:sz w:val="24"/>
                <w:szCs w:val="24"/>
              </w:rPr>
              <w:t>Г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>осударственный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662A04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A04">
              <w:rPr>
                <w:rFonts w:ascii="Times New Roman" w:hAnsi="Times New Roman"/>
                <w:sz w:val="24"/>
                <w:szCs w:val="24"/>
              </w:rPr>
              <w:t>Н869ВС</w:t>
            </w:r>
            <w:r w:rsidR="00933C5C" w:rsidRPr="00933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66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A04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2A01E3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A01E3" w:rsidRPr="00E449FF" w:rsidRDefault="002A01E3" w:rsidP="00BE5B38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фирмы – производителя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62A04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43645">
              <w:rPr>
                <w:rFonts w:ascii="Times New Roman" w:hAnsi="Times New Roman"/>
                <w:sz w:val="24"/>
                <w:szCs w:val="24"/>
              </w:rPr>
              <w:t>АО «АВТОВАЗ»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седан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62A04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183120</w:t>
            </w:r>
            <w:r w:rsidR="00643645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66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62A04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B77F2F" w:rsidRPr="00E449FF" w:rsidTr="00BE5B38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643645" w:rsidP="00BE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размеры (длина, ширина, высота)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77F2F" w:rsidRPr="00E449FF" w:rsidRDefault="00426889" w:rsidP="00BE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4260х1700х1500</w:t>
            </w:r>
          </w:p>
        </w:tc>
      </w:tr>
    </w:tbl>
    <w:p w:rsidR="002A01E3" w:rsidRDefault="002A01E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08547C">
        <w:rPr>
          <w:rFonts w:ascii="Times New Roman" w:hAnsi="Times New Roman" w:cs="Times New Roman"/>
          <w:sz w:val="24"/>
          <w:szCs w:val="24"/>
        </w:rPr>
        <w:t>Оценка. Консалтинг. Аудит</w:t>
      </w:r>
      <w:proofErr w:type="gramStart"/>
      <w:r w:rsidR="000854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47C">
        <w:rPr>
          <w:rFonts w:ascii="Times New Roman" w:hAnsi="Times New Roman" w:cs="Times New Roman"/>
          <w:sz w:val="24"/>
          <w:szCs w:val="24"/>
        </w:rPr>
        <w:t>2</w:t>
      </w:r>
      <w:r w:rsidR="00CA38B4">
        <w:rPr>
          <w:rFonts w:ascii="Times New Roman" w:hAnsi="Times New Roman" w:cs="Times New Roman"/>
          <w:sz w:val="24"/>
          <w:szCs w:val="24"/>
        </w:rPr>
        <w:t>9</w:t>
      </w:r>
      <w:r w:rsidR="00CD24BD">
        <w:rPr>
          <w:rFonts w:ascii="Times New Roman" w:hAnsi="Times New Roman" w:cs="Times New Roman"/>
          <w:sz w:val="24"/>
          <w:szCs w:val="24"/>
        </w:rPr>
        <w:t xml:space="preserve"> </w:t>
      </w:r>
      <w:r w:rsidR="00CA38B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A38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547C">
        <w:rPr>
          <w:rFonts w:ascii="Times New Roman" w:hAnsi="Times New Roman" w:cs="Times New Roman"/>
          <w:sz w:val="24"/>
          <w:szCs w:val="24"/>
        </w:rPr>
        <w:t>ОКА1819945/ТС-</w:t>
      </w:r>
      <w:r w:rsidR="005570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557077">
        <w:rPr>
          <w:rFonts w:ascii="Times New Roman" w:hAnsi="Times New Roman" w:cs="Times New Roman"/>
          <w:b/>
          <w:sz w:val="24"/>
          <w:szCs w:val="24"/>
        </w:rPr>
        <w:t>350</w:t>
      </w:r>
      <w:r w:rsidR="0008547C">
        <w:rPr>
          <w:rFonts w:ascii="Times New Roman" w:hAnsi="Times New Roman" w:cs="Times New Roman"/>
          <w:b/>
          <w:sz w:val="24"/>
          <w:szCs w:val="24"/>
        </w:rPr>
        <w:t>000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557077">
        <w:rPr>
          <w:rFonts w:ascii="Times New Roman" w:hAnsi="Times New Roman" w:cs="Times New Roman"/>
          <w:sz w:val="24"/>
          <w:szCs w:val="24"/>
        </w:rPr>
        <w:t>Триста пятьдесят</w:t>
      </w:r>
      <w:r w:rsidR="0008547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CA38B4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CA38B4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836347">
        <w:rPr>
          <w:rFonts w:ascii="Times New Roman" w:hAnsi="Times New Roman" w:cs="Times New Roman"/>
          <w:sz w:val="24"/>
          <w:szCs w:val="24"/>
        </w:rPr>
        <w:t>копеек</w:t>
      </w:r>
      <w:r w:rsidR="007276C1" w:rsidRPr="00836347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CA38B4" w:rsidRPr="00836347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аукциона</w:t>
      </w:r>
      <w:r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377857"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>19</w:t>
      </w:r>
      <w:r w:rsidR="003F2969"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77857"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>июня</w:t>
      </w:r>
      <w:r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7A3ECA"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>11</w:t>
      </w:r>
      <w:r w:rsidRPr="007A3ECA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41172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 xml:space="preserve">ИНН / КПП     </w:t>
      </w:r>
      <w:r w:rsidR="00E14270" w:rsidRPr="00E14270">
        <w:rPr>
          <w:rFonts w:ascii="Times New Roman" w:hAnsi="Times New Roman" w:cs="Times New Roman"/>
          <w:color w:val="auto"/>
          <w:sz w:val="24"/>
          <w:szCs w:val="24"/>
        </w:rPr>
        <w:t>1821014936</w:t>
      </w:r>
      <w:r w:rsidRPr="00E14270">
        <w:rPr>
          <w:rFonts w:ascii="Times New Roman" w:hAnsi="Times New Roman" w:cs="Times New Roman"/>
          <w:sz w:val="24"/>
        </w:rPr>
        <w:t xml:space="preserve">   182101001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ОКТМО 94533000</w:t>
      </w:r>
      <w:r w:rsidR="00E14270" w:rsidRPr="00E14270">
        <w:rPr>
          <w:rFonts w:ascii="Times New Roman" w:hAnsi="Times New Roman" w:cs="Times New Roman"/>
          <w:sz w:val="24"/>
        </w:rPr>
        <w:t>101</w:t>
      </w:r>
    </w:p>
    <w:p w:rsidR="000107C8" w:rsidRPr="00B23CDB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3CDB">
        <w:rPr>
          <w:rFonts w:ascii="Times New Roman" w:hAnsi="Times New Roman" w:cs="Times New Roman"/>
          <w:sz w:val="24"/>
        </w:rPr>
        <w:t xml:space="preserve">Код дохода 554 </w:t>
      </w:r>
      <w:r w:rsidR="00B23CDB" w:rsidRPr="00B23CDB">
        <w:rPr>
          <w:rFonts w:ascii="Times New Roman" w:hAnsi="Times New Roman" w:cs="Times New Roman"/>
          <w:sz w:val="24"/>
        </w:rPr>
        <w:t>0113</w:t>
      </w:r>
      <w:r w:rsidRPr="00B23CDB">
        <w:rPr>
          <w:rFonts w:ascii="Times New Roman" w:hAnsi="Times New Roman" w:cs="Times New Roman"/>
          <w:sz w:val="24"/>
        </w:rPr>
        <w:t xml:space="preserve"> </w:t>
      </w:r>
      <w:r w:rsidR="00B23CDB" w:rsidRPr="00B23CDB">
        <w:rPr>
          <w:rFonts w:ascii="Times New Roman" w:hAnsi="Times New Roman" w:cs="Times New Roman"/>
          <w:sz w:val="24"/>
        </w:rPr>
        <w:t>0000000</w:t>
      </w:r>
      <w:r w:rsidR="00B911C0">
        <w:rPr>
          <w:rFonts w:ascii="Times New Roman" w:hAnsi="Times New Roman" w:cs="Times New Roman"/>
          <w:sz w:val="24"/>
        </w:rPr>
        <w:t>000</w:t>
      </w:r>
      <w:r w:rsidRPr="00B23CDB">
        <w:rPr>
          <w:rFonts w:ascii="Times New Roman" w:hAnsi="Times New Roman" w:cs="Times New Roman"/>
          <w:sz w:val="24"/>
        </w:rPr>
        <w:t xml:space="preserve"> 410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D83960" w:rsidRDefault="00E14270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УФК по Удмуртской Республике (УФ Администрации Малопургинского района (МБУ "Центр по комплексному обслуживанию МУ и ЕДДС"))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БИК ТОФК     019401100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D8396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lastRenderedPageBreak/>
        <w:t>НКС       03</w:t>
      </w:r>
      <w:r w:rsidR="00E14270" w:rsidRPr="00E14270">
        <w:rPr>
          <w:rFonts w:ascii="Times New Roman" w:hAnsi="Times New Roman" w:cs="Times New Roman"/>
          <w:sz w:val="24"/>
        </w:rPr>
        <w:t>234</w:t>
      </w:r>
      <w:r w:rsidRPr="00E14270">
        <w:rPr>
          <w:rFonts w:ascii="Times New Roman" w:hAnsi="Times New Roman" w:cs="Times New Roman"/>
          <w:sz w:val="24"/>
        </w:rPr>
        <w:t>643</w:t>
      </w:r>
      <w:r w:rsidR="00E14270" w:rsidRPr="00E14270">
        <w:rPr>
          <w:rFonts w:ascii="Times New Roman" w:hAnsi="Times New Roman" w:cs="Times New Roman"/>
          <w:sz w:val="24"/>
        </w:rPr>
        <w:t>945330</w:t>
      </w:r>
      <w:r w:rsidRPr="00E14270">
        <w:rPr>
          <w:rFonts w:ascii="Times New Roman" w:hAnsi="Times New Roman" w:cs="Times New Roman"/>
          <w:sz w:val="24"/>
        </w:rPr>
        <w:t>001300</w:t>
      </w:r>
    </w:p>
    <w:p w:rsidR="000107C8" w:rsidRPr="00E14270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ОГРН       1</w:t>
      </w:r>
      <w:r w:rsidR="00E14270" w:rsidRPr="00E14270">
        <w:rPr>
          <w:rFonts w:ascii="Times New Roman" w:hAnsi="Times New Roman" w:cs="Times New Roman"/>
          <w:sz w:val="24"/>
        </w:rPr>
        <w:t>181832023097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136E4">
        <w:rPr>
          <w:rFonts w:ascii="Times New Roman" w:hAnsi="Times New Roman" w:cs="Times New Roman"/>
          <w:sz w:val="24"/>
        </w:rPr>
        <w:t>л</w:t>
      </w:r>
      <w:proofErr w:type="gramEnd"/>
      <w:r w:rsidRPr="004136E4">
        <w:rPr>
          <w:rFonts w:ascii="Times New Roman" w:hAnsi="Times New Roman" w:cs="Times New Roman"/>
          <w:sz w:val="24"/>
        </w:rPr>
        <w:t xml:space="preserve">/с   </w:t>
      </w:r>
      <w:r w:rsidR="00E14270" w:rsidRPr="004136E4">
        <w:rPr>
          <w:rFonts w:ascii="Times New Roman" w:hAnsi="Times New Roman" w:cs="Times New Roman"/>
          <w:sz w:val="24"/>
        </w:rPr>
        <w:t>20554</w:t>
      </w:r>
      <w:r w:rsidRPr="004136E4">
        <w:rPr>
          <w:rFonts w:ascii="Times New Roman" w:hAnsi="Times New Roman" w:cs="Times New Roman"/>
          <w:sz w:val="24"/>
        </w:rPr>
        <w:t>D0</w:t>
      </w:r>
      <w:r w:rsidR="004136E4" w:rsidRPr="004136E4">
        <w:rPr>
          <w:rFonts w:ascii="Times New Roman" w:hAnsi="Times New Roman" w:cs="Times New Roman"/>
          <w:sz w:val="24"/>
        </w:rPr>
        <w:t>9070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продаже имущества на аукционе претенденты</w:t>
      </w:r>
      <w:r w:rsidR="00AD1898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11033B">
        <w:rPr>
          <w:rFonts w:ascii="Times New Roman" w:hAnsi="Times New Roman" w:cs="Times New Roman"/>
          <w:b/>
          <w:sz w:val="24"/>
          <w:szCs w:val="24"/>
        </w:rPr>
        <w:t>350</w:t>
      </w:r>
      <w:r w:rsidR="00D8396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1033B">
        <w:rPr>
          <w:rFonts w:ascii="Times New Roman" w:hAnsi="Times New Roman" w:cs="Times New Roman"/>
          <w:sz w:val="24"/>
          <w:szCs w:val="24"/>
        </w:rPr>
        <w:t>Тридцать пять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83960">
        <w:rPr>
          <w:rFonts w:ascii="Times New Roman" w:hAnsi="Times New Roman" w:cs="Times New Roman"/>
          <w:b/>
          <w:sz w:val="24"/>
          <w:szCs w:val="24"/>
        </w:rPr>
        <w:t>0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</w:t>
      </w:r>
      <w:r w:rsidR="005F15A3">
        <w:rPr>
          <w:rFonts w:ascii="Times New Roman" w:hAnsi="Times New Roman"/>
          <w:sz w:val="24"/>
          <w:szCs w:val="24"/>
        </w:rPr>
        <w:t xml:space="preserve"> либо лица</w:t>
      </w:r>
      <w:r>
        <w:rPr>
          <w:rFonts w:ascii="Times New Roman" w:hAnsi="Times New Roman"/>
          <w:sz w:val="24"/>
          <w:szCs w:val="24"/>
        </w:rPr>
        <w:t>,</w:t>
      </w:r>
      <w:r w:rsidR="005F15A3">
        <w:rPr>
          <w:rFonts w:ascii="Times New Roman" w:hAnsi="Times New Roman"/>
          <w:sz w:val="24"/>
          <w:szCs w:val="24"/>
        </w:rPr>
        <w:t xml:space="preserve"> признанного единственным участником аукциона, </w:t>
      </w:r>
      <w:r>
        <w:rPr>
          <w:rFonts w:ascii="Times New Roman" w:hAnsi="Times New Roman"/>
          <w:sz w:val="24"/>
          <w:szCs w:val="24"/>
        </w:rPr>
        <w:t xml:space="preserve"> - в течение 5 (пяти)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5F15A3">
        <w:rPr>
          <w:rFonts w:ascii="Times New Roman" w:hAnsi="Times New Roman"/>
          <w:sz w:val="24"/>
          <w:szCs w:val="24"/>
        </w:rPr>
        <w:t xml:space="preserve"> даты</w:t>
      </w:r>
      <w:r>
        <w:rPr>
          <w:rFonts w:ascii="Times New Roman" w:hAnsi="Times New Roman"/>
          <w:sz w:val="24"/>
          <w:szCs w:val="24"/>
        </w:rPr>
        <w:t xml:space="preserve">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FA5E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5F15A3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80B">
        <w:rPr>
          <w:rFonts w:ascii="Times New Roman" w:hAnsi="Times New Roman" w:cs="Times New Roman"/>
          <w:sz w:val="24"/>
          <w:szCs w:val="24"/>
        </w:rPr>
        <w:t>«Шаг аукциона»</w:t>
      </w:r>
      <w:r>
        <w:rPr>
          <w:rFonts w:ascii="Times New Roman" w:hAnsi="Times New Roman" w:cs="Times New Roman"/>
          <w:sz w:val="24"/>
          <w:szCs w:val="24"/>
        </w:rPr>
        <w:t xml:space="preserve"> установлен в размере 5% (Пяти процентов) начальной цены продажи, что составляет </w:t>
      </w:r>
      <w:r w:rsidR="0011033B">
        <w:rPr>
          <w:rFonts w:ascii="Times New Roman" w:hAnsi="Times New Roman" w:cs="Times New Roman"/>
          <w:b/>
          <w:sz w:val="24"/>
          <w:szCs w:val="24"/>
        </w:rPr>
        <w:t>17500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11033B">
        <w:rPr>
          <w:rFonts w:ascii="Times New Roman" w:hAnsi="Times New Roman" w:cs="Times New Roman"/>
          <w:sz w:val="24"/>
          <w:szCs w:val="24"/>
        </w:rPr>
        <w:t>Семнадцать тысяч пятьсот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B91B74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B91B7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BA27E6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ab/>
      </w:r>
      <w:r w:rsidR="00BA27E6" w:rsidRPr="00BA27E6">
        <w:rPr>
          <w:rFonts w:ascii="Times New Roman" w:hAnsi="Times New Roman" w:cs="Times New Roman"/>
          <w:sz w:val="24"/>
          <w:szCs w:val="24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</w:t>
      </w:r>
    </w:p>
    <w:p w:rsidR="006017D0" w:rsidRDefault="005022D3" w:rsidP="00BA27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27E6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A27E6" w:rsidRPr="00BA27E6" w:rsidRDefault="00BA27E6" w:rsidP="00BA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7E6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A27E6" w:rsidRPr="00BA27E6" w:rsidRDefault="00BA27E6" w:rsidP="00BA4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E6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Pr="007A3ECA" w:rsidRDefault="00BA27E6">
      <w:pPr>
        <w:spacing w:after="0" w:line="240" w:lineRule="auto"/>
        <w:jc w:val="both"/>
      </w:pPr>
      <w:r w:rsidRPr="00BA27E6">
        <w:rPr>
          <w:rFonts w:ascii="Times New Roman" w:hAnsi="Times New Roman" w:cs="Times New Roman"/>
          <w:sz w:val="24"/>
          <w:szCs w:val="24"/>
        </w:rPr>
        <w:tab/>
      </w:r>
      <w:r w:rsidR="005022D3" w:rsidRPr="007A3ECA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377857" w:rsidRPr="007A3ECA">
        <w:rPr>
          <w:rFonts w:ascii="Times New Roman" w:hAnsi="Times New Roman" w:cs="Times New Roman"/>
          <w:sz w:val="24"/>
          <w:szCs w:val="24"/>
        </w:rPr>
        <w:t>1</w:t>
      </w:r>
      <w:r w:rsidR="007A3ECA" w:rsidRPr="007A3ECA">
        <w:rPr>
          <w:rFonts w:ascii="Times New Roman" w:hAnsi="Times New Roman" w:cs="Times New Roman"/>
          <w:sz w:val="24"/>
          <w:szCs w:val="24"/>
        </w:rPr>
        <w:t>8</w:t>
      </w:r>
      <w:r w:rsidR="00377857" w:rsidRPr="007A3ECA">
        <w:rPr>
          <w:rFonts w:ascii="Times New Roman" w:hAnsi="Times New Roman" w:cs="Times New Roman"/>
          <w:sz w:val="24"/>
          <w:szCs w:val="24"/>
        </w:rPr>
        <w:t xml:space="preserve"> мая</w:t>
      </w:r>
      <w:r w:rsidR="005022D3" w:rsidRPr="007A3ECA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7A3ECA">
        <w:rPr>
          <w:rFonts w:ascii="Times New Roman" w:hAnsi="Times New Roman" w:cs="Times New Roman"/>
          <w:sz w:val="24"/>
          <w:szCs w:val="24"/>
        </w:rPr>
        <w:t>2</w:t>
      </w:r>
      <w:r w:rsidR="00693F80" w:rsidRPr="007A3ECA">
        <w:rPr>
          <w:rFonts w:ascii="Times New Roman" w:hAnsi="Times New Roman" w:cs="Times New Roman"/>
          <w:sz w:val="24"/>
          <w:szCs w:val="24"/>
        </w:rPr>
        <w:t>3</w:t>
      </w:r>
      <w:r w:rsidR="005022D3" w:rsidRPr="007A3ECA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7A3ECA" w:rsidRPr="007A3ECA">
        <w:rPr>
          <w:rFonts w:ascii="Times New Roman" w:hAnsi="Times New Roman" w:cs="Times New Roman"/>
          <w:sz w:val="24"/>
          <w:szCs w:val="24"/>
        </w:rPr>
        <w:t>08</w:t>
      </w:r>
      <w:r w:rsidR="005022D3" w:rsidRPr="007A3ECA">
        <w:rPr>
          <w:rFonts w:ascii="Times New Roman" w:hAnsi="Times New Roman" w:cs="Times New Roman"/>
          <w:sz w:val="24"/>
          <w:szCs w:val="24"/>
        </w:rPr>
        <w:t>.00 ч.</w:t>
      </w:r>
    </w:p>
    <w:p w:rsidR="006017D0" w:rsidRPr="007A3ECA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CA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693F80" w:rsidRPr="007A3ECA">
        <w:rPr>
          <w:rFonts w:ascii="Times New Roman" w:hAnsi="Times New Roman" w:cs="Times New Roman"/>
          <w:sz w:val="24"/>
          <w:szCs w:val="24"/>
        </w:rPr>
        <w:t>1</w:t>
      </w:r>
      <w:r w:rsidR="007A3ECA" w:rsidRPr="007A3ECA">
        <w:rPr>
          <w:rFonts w:ascii="Times New Roman" w:hAnsi="Times New Roman" w:cs="Times New Roman"/>
          <w:sz w:val="24"/>
          <w:szCs w:val="24"/>
        </w:rPr>
        <w:t>2</w:t>
      </w:r>
      <w:r w:rsidR="00377857" w:rsidRPr="007A3ECA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7A3ECA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7A3ECA">
        <w:rPr>
          <w:rFonts w:ascii="Times New Roman" w:hAnsi="Times New Roman" w:cs="Times New Roman"/>
          <w:sz w:val="24"/>
          <w:szCs w:val="24"/>
        </w:rPr>
        <w:t>3</w:t>
      </w:r>
      <w:r w:rsidR="00C271A7" w:rsidRPr="007A3ECA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7A3ECA">
        <w:rPr>
          <w:rFonts w:ascii="Times New Roman" w:hAnsi="Times New Roman" w:cs="Times New Roman"/>
          <w:sz w:val="24"/>
          <w:szCs w:val="24"/>
        </w:rPr>
        <w:t>2</w:t>
      </w:r>
      <w:r w:rsidR="00377857" w:rsidRPr="007A3ECA">
        <w:rPr>
          <w:rFonts w:ascii="Times New Roman" w:hAnsi="Times New Roman" w:cs="Times New Roman"/>
          <w:sz w:val="24"/>
          <w:szCs w:val="24"/>
        </w:rPr>
        <w:t>3</w:t>
      </w:r>
      <w:r w:rsidRPr="007A3ECA">
        <w:rPr>
          <w:rFonts w:ascii="Times New Roman" w:hAnsi="Times New Roman" w:cs="Times New Roman"/>
          <w:sz w:val="24"/>
          <w:szCs w:val="24"/>
        </w:rPr>
        <w:t>.</w:t>
      </w:r>
      <w:r w:rsidR="00261DE3" w:rsidRPr="007A3ECA">
        <w:rPr>
          <w:rFonts w:ascii="Times New Roman" w:hAnsi="Times New Roman" w:cs="Times New Roman"/>
          <w:sz w:val="24"/>
          <w:szCs w:val="24"/>
        </w:rPr>
        <w:t>59</w:t>
      </w:r>
      <w:r w:rsidRPr="007A3EC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4C46" w:rsidRDefault="00BA4C46">
      <w:pPr>
        <w:spacing w:after="0" w:line="240" w:lineRule="auto"/>
        <w:jc w:val="both"/>
      </w:pPr>
      <w:r w:rsidRPr="007A3ECA">
        <w:rPr>
          <w:rFonts w:ascii="Times New Roman" w:hAnsi="Times New Roman" w:cs="Times New Roman"/>
          <w:sz w:val="24"/>
          <w:szCs w:val="24"/>
        </w:rPr>
        <w:tab/>
        <w:t xml:space="preserve">Дата рассмотрения заявок и документов претендентов и признания их участниками аукциона: </w:t>
      </w:r>
      <w:r w:rsidR="00377857" w:rsidRPr="007A3ECA">
        <w:rPr>
          <w:rFonts w:ascii="Times New Roman" w:hAnsi="Times New Roman" w:cs="Times New Roman"/>
          <w:sz w:val="24"/>
          <w:szCs w:val="24"/>
        </w:rPr>
        <w:t>16 июня</w:t>
      </w:r>
      <w:r w:rsidRPr="007A3ECA">
        <w:rPr>
          <w:rFonts w:ascii="Times New Roman" w:hAnsi="Times New Roman" w:cs="Times New Roman"/>
          <w:sz w:val="24"/>
          <w:szCs w:val="24"/>
        </w:rPr>
        <w:t xml:space="preserve"> 2023 года.</w:t>
      </w:r>
      <w:bookmarkStart w:id="0" w:name="_GoBack"/>
      <w:bookmarkEnd w:id="0"/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14. Исчерпывающий перечень представляемых участниками торгов документов и </w:t>
      </w:r>
      <w:r w:rsidRPr="00FD6E95">
        <w:rPr>
          <w:rFonts w:ascii="Times New Roman" w:hAnsi="Times New Roman" w:cs="Times New Roman"/>
          <w:b/>
          <w:bCs/>
          <w:sz w:val="24"/>
          <w:szCs w:val="24"/>
        </w:rPr>
        <w:t>требования к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</w:t>
      </w:r>
      <w:r w:rsidR="0091645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916451" w:rsidRPr="00916451">
        <w:rPr>
          <w:rFonts w:ascii="Times New Roman" w:hAnsi="Times New Roman" w:cs="Times New Roman"/>
          <w:sz w:val="24"/>
          <w:szCs w:val="24"/>
          <w:lang w:bidi="ru-RU"/>
        </w:rPr>
        <w:t>Одновременно с</w:t>
      </w:r>
      <w:r w:rsidR="00916451">
        <w:rPr>
          <w:rFonts w:ascii="Times New Roman" w:hAnsi="Times New Roman" w:cs="Times New Roman"/>
          <w:sz w:val="24"/>
          <w:szCs w:val="24"/>
          <w:lang w:bidi="ru-RU"/>
        </w:rPr>
        <w:t xml:space="preserve"> заявкой на участие в аукционе п</w:t>
      </w:r>
      <w:r w:rsidR="00916451" w:rsidRPr="00916451">
        <w:rPr>
          <w:rFonts w:ascii="Times New Roman" w:hAnsi="Times New Roman" w:cs="Times New Roman"/>
          <w:sz w:val="24"/>
          <w:szCs w:val="24"/>
          <w:lang w:bidi="ru-RU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</w:t>
      </w:r>
      <w:r w:rsidR="00A451B6"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всех листов документа, удостоверяющего личность;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A451B6">
        <w:rPr>
          <w:rFonts w:ascii="Times New Roman" w:hAnsi="Times New Roman"/>
          <w:bCs/>
          <w:sz w:val="24"/>
          <w:szCs w:val="24"/>
          <w:lang w:bidi="ru-RU"/>
        </w:rPr>
        <w:t>при наличии печати</w:t>
      </w:r>
      <w:r>
        <w:rPr>
          <w:rFonts w:ascii="Times New Roman" w:hAnsi="Times New Roman"/>
          <w:bCs/>
          <w:sz w:val="24"/>
          <w:szCs w:val="24"/>
          <w:lang w:bidi="ru-RU"/>
        </w:rPr>
        <w:t>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C7247">
        <w:rPr>
          <w:rFonts w:ascii="Times New Roman" w:hAnsi="Times New Roman"/>
          <w:bCs/>
          <w:sz w:val="24"/>
          <w:szCs w:val="24"/>
          <w:lang w:bidi="ru-RU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0C7247">
        <w:rPr>
          <w:rFonts w:ascii="Times New Roman" w:hAnsi="Times New Roman"/>
          <w:bCs/>
          <w:sz w:val="24"/>
          <w:szCs w:val="24"/>
          <w:lang w:bidi="ru-RU"/>
        </w:rPr>
        <w:t>ерждающий полномочия этого лица.</w:t>
      </w:r>
    </w:p>
    <w:p w:rsidR="00916451" w:rsidRPr="00916451" w:rsidRDefault="00916451" w:rsidP="00916451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br/>
        <w:t xml:space="preserve">заверения и содержания должны соответствовать требованиям законодательства Российской Федерации и настоящего </w:t>
      </w:r>
      <w:r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нформационного сообщения. </w:t>
      </w:r>
    </w:p>
    <w:p w:rsidR="00916451" w:rsidRPr="00916451" w:rsidRDefault="00916451" w:rsidP="00916451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>Заявки подаются одновременно с полным комплектом докумен</w:t>
      </w:r>
      <w:r>
        <w:rPr>
          <w:rFonts w:ascii="Times New Roman" w:hAnsi="Times New Roman"/>
          <w:bCs/>
          <w:sz w:val="24"/>
          <w:szCs w:val="24"/>
          <w:lang w:bidi="ru-RU"/>
        </w:rPr>
        <w:t>тов, установленным в настоящем и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нформационном сообщении. </w:t>
      </w:r>
    </w:p>
    <w:p w:rsidR="00916451" w:rsidRDefault="00916451" w:rsidP="00916451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ретендента, участника,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родавца либо </w:t>
      </w:r>
      <w:r>
        <w:rPr>
          <w:rFonts w:ascii="Times New Roman" w:hAnsi="Times New Roman"/>
          <w:bCs/>
          <w:sz w:val="24"/>
          <w:szCs w:val="24"/>
          <w:lang w:bidi="ru-RU"/>
        </w:rPr>
        <w:t>о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>рганизатора, и отправитель несет ответственность за подлинность и достоверность таких документов и сведений.</w:t>
      </w:r>
    </w:p>
    <w:p w:rsidR="006017D0" w:rsidRDefault="005022D3" w:rsidP="00BA4C46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</w:t>
      </w:r>
      <w:r w:rsidR="005F2BED">
        <w:rPr>
          <w:rFonts w:ascii="Times New Roman" w:hAnsi="Times New Roman" w:cs="Times New Roman"/>
          <w:sz w:val="24"/>
          <w:szCs w:val="24"/>
        </w:rPr>
        <w:t xml:space="preserve"> либо лицом, признанным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342894">
        <w:rPr>
          <w:rFonts w:ascii="Times New Roman" w:hAnsi="Times New Roman" w:cs="Times New Roman"/>
          <w:sz w:val="24"/>
          <w:szCs w:val="24"/>
        </w:rPr>
        <w:t xml:space="preserve"> даты </w:t>
      </w:r>
      <w:r>
        <w:rPr>
          <w:rFonts w:ascii="Times New Roman" w:hAnsi="Times New Roman" w:cs="Times New Roman"/>
          <w:sz w:val="24"/>
          <w:szCs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</w:t>
      </w:r>
      <w:r w:rsidR="00342894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/>
          <w:sz w:val="24"/>
          <w:szCs w:val="24"/>
        </w:rPr>
        <w:t xml:space="preserve">  от заключения в установленный срок договора купли-продажи имущества</w:t>
      </w:r>
      <w:r w:rsidR="003428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42894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</w:t>
      </w:r>
      <w:r w:rsidRPr="00C00373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170290" w:rsidRPr="00C00373">
        <w:rPr>
          <w:rFonts w:ascii="Times New Roman" w:hAnsi="Times New Roman" w:cs="Times New Roman"/>
          <w:sz w:val="24"/>
          <w:szCs w:val="24"/>
        </w:rPr>
        <w:t>МБУ «Центр по комплексному обслуживанию МУ и ЕДДС»</w:t>
      </w:r>
      <w:r w:rsidRPr="00C00373">
        <w:rPr>
          <w:rFonts w:ascii="Times New Roman" w:hAnsi="Times New Roman" w:cs="Times New Roman"/>
          <w:sz w:val="24"/>
          <w:szCs w:val="24"/>
        </w:rPr>
        <w:t xml:space="preserve"> по адресу:  Удмуртская Республика Малопургинский район, с. Малая Пурга, пл. Победы, д. 1, </w:t>
      </w:r>
      <w:r w:rsidR="00170290" w:rsidRPr="00C00373">
        <w:rPr>
          <w:rFonts w:ascii="Times New Roman" w:hAnsi="Times New Roman" w:cs="Times New Roman"/>
          <w:sz w:val="24"/>
          <w:szCs w:val="24"/>
        </w:rPr>
        <w:t xml:space="preserve">предварительно позвонив </w:t>
      </w:r>
      <w:proofErr w:type="gramStart"/>
      <w:r w:rsidR="00170290" w:rsidRPr="00C003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70290" w:rsidRPr="00C00373">
        <w:rPr>
          <w:rFonts w:ascii="Times New Roman" w:hAnsi="Times New Roman" w:cs="Times New Roman"/>
          <w:sz w:val="24"/>
          <w:szCs w:val="24"/>
        </w:rPr>
        <w:t xml:space="preserve"> </w:t>
      </w:r>
      <w:r w:rsidRPr="00C00373">
        <w:rPr>
          <w:rFonts w:ascii="Times New Roman" w:hAnsi="Times New Roman" w:cs="Times New Roman"/>
          <w:sz w:val="24"/>
          <w:szCs w:val="24"/>
        </w:rPr>
        <w:t>тел.  8</w:t>
      </w:r>
      <w:r w:rsidR="00567D7A" w:rsidRPr="00C00373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170290" w:rsidRPr="00C00373">
        <w:rPr>
          <w:rFonts w:ascii="Times New Roman" w:hAnsi="Times New Roman" w:cs="Times New Roman"/>
          <w:sz w:val="24"/>
          <w:szCs w:val="24"/>
        </w:rPr>
        <w:t>(34138) 4 25 77</w:t>
      </w:r>
      <w:r w:rsidRPr="00C00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Покупателями </w:t>
      </w:r>
      <w:r w:rsidR="00C00373">
        <w:rPr>
          <w:rFonts w:ascii="Times New Roman" w:hAnsi="Times New Roman" w:cs="Times New Roman"/>
          <w:sz w:val="24"/>
          <w:szCs w:val="24"/>
        </w:rPr>
        <w:t xml:space="preserve">государственного 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подтверждено поступление в установленный срок задатка на </w:t>
      </w:r>
      <w:r w:rsidR="00D90959">
        <w:rPr>
          <w:rFonts w:ascii="Times New Roman" w:hAnsi="Times New Roman"/>
          <w:sz w:val="24"/>
          <w:szCs w:val="24"/>
        </w:rPr>
        <w:t>счета, указанные в информационном сообщении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90959" w:rsidRDefault="00D90959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признании участника аукциона победителем либо лицом, признанным единственным участником аукциона, направляется победителю либо лицу, признанному единственным участником аукциона, в день подведения итогов аукциона.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</w:t>
      </w:r>
      <w:r w:rsidR="00454368">
        <w:rPr>
          <w:rFonts w:ascii="Times New Roman" w:hAnsi="Times New Roman" w:cs="Times New Roman"/>
          <w:sz w:val="24"/>
          <w:szCs w:val="24"/>
        </w:rPr>
        <w:t xml:space="preserve"> либо единственный участник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Pr="00DC1166" w:rsidRDefault="005022D3" w:rsidP="00DD7C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</w:t>
      </w:r>
      <w:r w:rsidR="0073757D">
        <w:rPr>
          <w:rFonts w:ascii="Times New Roman" w:hAnsi="Times New Roman" w:cs="Times New Roman"/>
          <w:sz w:val="24"/>
          <w:szCs w:val="24"/>
        </w:rPr>
        <w:t xml:space="preserve"> по продаже указанного имущества ранее не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73757D">
        <w:rPr>
          <w:rFonts w:ascii="Times New Roman" w:hAnsi="Times New Roman" w:cs="Times New Roman"/>
          <w:sz w:val="24"/>
          <w:szCs w:val="24"/>
        </w:rPr>
        <w:t>.</w:t>
      </w:r>
    </w:p>
    <w:p w:rsidR="00906AF4" w:rsidRDefault="00906AF4">
      <w:pPr>
        <w:spacing w:after="0" w:line="240" w:lineRule="auto"/>
        <w:jc w:val="both"/>
      </w:pP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53" w:rsidRDefault="00223A53">
      <w:pPr>
        <w:spacing w:after="0" w:line="240" w:lineRule="auto"/>
      </w:pPr>
      <w:r>
        <w:separator/>
      </w:r>
    </w:p>
  </w:endnote>
  <w:endnote w:type="continuationSeparator" w:id="0">
    <w:p w:rsidR="00223A53" w:rsidRDefault="0022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53" w:rsidRDefault="00223A53">
      <w:pPr>
        <w:spacing w:after="0" w:line="240" w:lineRule="auto"/>
      </w:pPr>
      <w:r>
        <w:separator/>
      </w:r>
    </w:p>
  </w:footnote>
  <w:footnote w:type="continuationSeparator" w:id="0">
    <w:p w:rsidR="00223A53" w:rsidRDefault="0022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268F2"/>
    <w:rsid w:val="0003380A"/>
    <w:rsid w:val="0003474F"/>
    <w:rsid w:val="0004731C"/>
    <w:rsid w:val="00053FD1"/>
    <w:rsid w:val="00055F15"/>
    <w:rsid w:val="0008547C"/>
    <w:rsid w:val="00087897"/>
    <w:rsid w:val="000A0AAB"/>
    <w:rsid w:val="000A544A"/>
    <w:rsid w:val="000A72F9"/>
    <w:rsid w:val="000B4AA6"/>
    <w:rsid w:val="000C7136"/>
    <w:rsid w:val="000C7247"/>
    <w:rsid w:val="000E677C"/>
    <w:rsid w:val="000F357C"/>
    <w:rsid w:val="000F602E"/>
    <w:rsid w:val="0010001F"/>
    <w:rsid w:val="0010710A"/>
    <w:rsid w:val="0011033B"/>
    <w:rsid w:val="00132289"/>
    <w:rsid w:val="00133149"/>
    <w:rsid w:val="00133788"/>
    <w:rsid w:val="001446FE"/>
    <w:rsid w:val="001542F1"/>
    <w:rsid w:val="00157409"/>
    <w:rsid w:val="00170290"/>
    <w:rsid w:val="001848AB"/>
    <w:rsid w:val="0018619A"/>
    <w:rsid w:val="001A5A98"/>
    <w:rsid w:val="001C57E3"/>
    <w:rsid w:val="001C7431"/>
    <w:rsid w:val="001D7A9F"/>
    <w:rsid w:val="001F76BB"/>
    <w:rsid w:val="00210A3F"/>
    <w:rsid w:val="00214C49"/>
    <w:rsid w:val="00223A53"/>
    <w:rsid w:val="00234358"/>
    <w:rsid w:val="00251C97"/>
    <w:rsid w:val="002535CB"/>
    <w:rsid w:val="00261DE3"/>
    <w:rsid w:val="00273D44"/>
    <w:rsid w:val="002867A2"/>
    <w:rsid w:val="002A01E3"/>
    <w:rsid w:val="002A272B"/>
    <w:rsid w:val="002D5636"/>
    <w:rsid w:val="002F2020"/>
    <w:rsid w:val="00301B53"/>
    <w:rsid w:val="003107E4"/>
    <w:rsid w:val="00310AE6"/>
    <w:rsid w:val="00324B11"/>
    <w:rsid w:val="00327E83"/>
    <w:rsid w:val="00342894"/>
    <w:rsid w:val="00352786"/>
    <w:rsid w:val="00363B4C"/>
    <w:rsid w:val="00377857"/>
    <w:rsid w:val="0038533E"/>
    <w:rsid w:val="00385477"/>
    <w:rsid w:val="003911CF"/>
    <w:rsid w:val="00392C01"/>
    <w:rsid w:val="003B41FD"/>
    <w:rsid w:val="003D07D5"/>
    <w:rsid w:val="003F2969"/>
    <w:rsid w:val="003F4338"/>
    <w:rsid w:val="003F7D5F"/>
    <w:rsid w:val="0041172A"/>
    <w:rsid w:val="0041180D"/>
    <w:rsid w:val="004136E4"/>
    <w:rsid w:val="00422734"/>
    <w:rsid w:val="00426889"/>
    <w:rsid w:val="004338CD"/>
    <w:rsid w:val="00436A13"/>
    <w:rsid w:val="00454368"/>
    <w:rsid w:val="004603B3"/>
    <w:rsid w:val="00462971"/>
    <w:rsid w:val="00466A4B"/>
    <w:rsid w:val="00473AFE"/>
    <w:rsid w:val="00491DAE"/>
    <w:rsid w:val="004B1EC0"/>
    <w:rsid w:val="004D157C"/>
    <w:rsid w:val="004F3A50"/>
    <w:rsid w:val="00500369"/>
    <w:rsid w:val="005022D3"/>
    <w:rsid w:val="005023AE"/>
    <w:rsid w:val="00502CB7"/>
    <w:rsid w:val="00520F1A"/>
    <w:rsid w:val="005442B6"/>
    <w:rsid w:val="00557077"/>
    <w:rsid w:val="00557821"/>
    <w:rsid w:val="00567D7A"/>
    <w:rsid w:val="005709FE"/>
    <w:rsid w:val="00576909"/>
    <w:rsid w:val="00577A9D"/>
    <w:rsid w:val="00590927"/>
    <w:rsid w:val="005938C4"/>
    <w:rsid w:val="005A3301"/>
    <w:rsid w:val="005B0E8B"/>
    <w:rsid w:val="005E0A93"/>
    <w:rsid w:val="005E5B3A"/>
    <w:rsid w:val="005F15A3"/>
    <w:rsid w:val="005F2BED"/>
    <w:rsid w:val="006017D0"/>
    <w:rsid w:val="00605607"/>
    <w:rsid w:val="00606A52"/>
    <w:rsid w:val="00613769"/>
    <w:rsid w:val="0062142A"/>
    <w:rsid w:val="00623D2B"/>
    <w:rsid w:val="00643645"/>
    <w:rsid w:val="00662A04"/>
    <w:rsid w:val="00693F80"/>
    <w:rsid w:val="0069724B"/>
    <w:rsid w:val="006B0EFD"/>
    <w:rsid w:val="006E4F74"/>
    <w:rsid w:val="006F11C5"/>
    <w:rsid w:val="006F30D4"/>
    <w:rsid w:val="006F5E85"/>
    <w:rsid w:val="007276C1"/>
    <w:rsid w:val="0073757D"/>
    <w:rsid w:val="0077319F"/>
    <w:rsid w:val="00773FDD"/>
    <w:rsid w:val="00774163"/>
    <w:rsid w:val="00784298"/>
    <w:rsid w:val="0078597C"/>
    <w:rsid w:val="00792D10"/>
    <w:rsid w:val="007A3ECA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06010"/>
    <w:rsid w:val="0081002B"/>
    <w:rsid w:val="00821DC1"/>
    <w:rsid w:val="00836347"/>
    <w:rsid w:val="00836FBF"/>
    <w:rsid w:val="00853CC9"/>
    <w:rsid w:val="008A3760"/>
    <w:rsid w:val="008C4D25"/>
    <w:rsid w:val="008D380B"/>
    <w:rsid w:val="00906AF4"/>
    <w:rsid w:val="00916451"/>
    <w:rsid w:val="00933C5C"/>
    <w:rsid w:val="0093503C"/>
    <w:rsid w:val="00941356"/>
    <w:rsid w:val="0094431D"/>
    <w:rsid w:val="00986CCF"/>
    <w:rsid w:val="00997979"/>
    <w:rsid w:val="009B76AC"/>
    <w:rsid w:val="009C599D"/>
    <w:rsid w:val="009E7E6F"/>
    <w:rsid w:val="00A06149"/>
    <w:rsid w:val="00A063B4"/>
    <w:rsid w:val="00A131F8"/>
    <w:rsid w:val="00A17845"/>
    <w:rsid w:val="00A22F8F"/>
    <w:rsid w:val="00A329E8"/>
    <w:rsid w:val="00A451B6"/>
    <w:rsid w:val="00A478D4"/>
    <w:rsid w:val="00A55190"/>
    <w:rsid w:val="00A70C2C"/>
    <w:rsid w:val="00A7236D"/>
    <w:rsid w:val="00A94BF9"/>
    <w:rsid w:val="00AA060F"/>
    <w:rsid w:val="00AA19B9"/>
    <w:rsid w:val="00AB7772"/>
    <w:rsid w:val="00AD1898"/>
    <w:rsid w:val="00AD4531"/>
    <w:rsid w:val="00AE4851"/>
    <w:rsid w:val="00AF124D"/>
    <w:rsid w:val="00B036C7"/>
    <w:rsid w:val="00B07E36"/>
    <w:rsid w:val="00B23CDB"/>
    <w:rsid w:val="00B61007"/>
    <w:rsid w:val="00B63021"/>
    <w:rsid w:val="00B704BC"/>
    <w:rsid w:val="00B77F2F"/>
    <w:rsid w:val="00B87CD9"/>
    <w:rsid w:val="00B90ED6"/>
    <w:rsid w:val="00B9112B"/>
    <w:rsid w:val="00B911C0"/>
    <w:rsid w:val="00B91B74"/>
    <w:rsid w:val="00BA2211"/>
    <w:rsid w:val="00BA27E6"/>
    <w:rsid w:val="00BA4C46"/>
    <w:rsid w:val="00BB2C64"/>
    <w:rsid w:val="00BC65D9"/>
    <w:rsid w:val="00BD4EF5"/>
    <w:rsid w:val="00BF4EFB"/>
    <w:rsid w:val="00C002D6"/>
    <w:rsid w:val="00C00373"/>
    <w:rsid w:val="00C040A7"/>
    <w:rsid w:val="00C201AC"/>
    <w:rsid w:val="00C271A7"/>
    <w:rsid w:val="00C32310"/>
    <w:rsid w:val="00C45FDE"/>
    <w:rsid w:val="00C55B77"/>
    <w:rsid w:val="00C56B52"/>
    <w:rsid w:val="00CA38B4"/>
    <w:rsid w:val="00CA6C9E"/>
    <w:rsid w:val="00CB56BC"/>
    <w:rsid w:val="00CD24BD"/>
    <w:rsid w:val="00CE0FCB"/>
    <w:rsid w:val="00D4175A"/>
    <w:rsid w:val="00D62B22"/>
    <w:rsid w:val="00D67134"/>
    <w:rsid w:val="00D71318"/>
    <w:rsid w:val="00D74D99"/>
    <w:rsid w:val="00D83960"/>
    <w:rsid w:val="00D85B4B"/>
    <w:rsid w:val="00D87450"/>
    <w:rsid w:val="00D90959"/>
    <w:rsid w:val="00D96EF0"/>
    <w:rsid w:val="00DC1166"/>
    <w:rsid w:val="00DC6756"/>
    <w:rsid w:val="00DC75D6"/>
    <w:rsid w:val="00DD7C72"/>
    <w:rsid w:val="00E14270"/>
    <w:rsid w:val="00E14F44"/>
    <w:rsid w:val="00E23974"/>
    <w:rsid w:val="00E2728D"/>
    <w:rsid w:val="00E5761A"/>
    <w:rsid w:val="00E82ADB"/>
    <w:rsid w:val="00E8725A"/>
    <w:rsid w:val="00E90E24"/>
    <w:rsid w:val="00EB274A"/>
    <w:rsid w:val="00EB71D6"/>
    <w:rsid w:val="00ED5B9A"/>
    <w:rsid w:val="00F12599"/>
    <w:rsid w:val="00F12DD3"/>
    <w:rsid w:val="00F3168A"/>
    <w:rsid w:val="00F41DDA"/>
    <w:rsid w:val="00F52B19"/>
    <w:rsid w:val="00F646D3"/>
    <w:rsid w:val="00F6694E"/>
    <w:rsid w:val="00F71E22"/>
    <w:rsid w:val="00F82C1D"/>
    <w:rsid w:val="00F82DB2"/>
    <w:rsid w:val="00F87514"/>
    <w:rsid w:val="00FA5E46"/>
    <w:rsid w:val="00FB458D"/>
    <w:rsid w:val="00FD616C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24CF-EA39-49A0-BFAE-DBD62B64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7737</TotalTime>
  <Pages>1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210</cp:revision>
  <cp:lastPrinted>2022-08-08T11:19:00Z</cp:lastPrinted>
  <dcterms:created xsi:type="dcterms:W3CDTF">2015-08-14T11:34:00Z</dcterms:created>
  <dcterms:modified xsi:type="dcterms:W3CDTF">2023-05-17T10:21:00Z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