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C9" w:rsidRDefault="002E70C9" w:rsidP="002E70C9">
      <w:pPr>
        <w:spacing w:after="0" w:line="240" w:lineRule="auto"/>
        <w:ind w:left="6237"/>
        <w:contextualSpacing/>
        <w:rPr>
          <w:rFonts w:ascii="Times New Roman" w:eastAsia="Times New Roman" w:hAnsi="Times New Roman" w:cs="Times New Roman"/>
          <w:color w:val="222222"/>
          <w:sz w:val="24"/>
          <w:szCs w:val="24"/>
          <w:lang w:eastAsia="ru-RU"/>
        </w:rPr>
      </w:pPr>
      <w:bookmarkStart w:id="0" w:name="_GoBack"/>
      <w:bookmarkEnd w:id="0"/>
      <w:r>
        <w:rPr>
          <w:rFonts w:ascii="Times New Roman" w:eastAsia="Times New Roman" w:hAnsi="Times New Roman" w:cs="Times New Roman"/>
          <w:color w:val="222222"/>
          <w:sz w:val="24"/>
          <w:szCs w:val="24"/>
          <w:lang w:eastAsia="ru-RU"/>
        </w:rPr>
        <w:t>Приложение к письму Министерства социальной политики и труда Удмуртской Республики</w:t>
      </w:r>
    </w:p>
    <w:p w:rsidR="002E70C9" w:rsidRPr="002E70C9" w:rsidRDefault="000D1862" w:rsidP="002E70C9">
      <w:pPr>
        <w:spacing w:after="0" w:line="240" w:lineRule="auto"/>
        <w:ind w:left="6237"/>
        <w:contextualSpacing/>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w:t>
      </w:r>
      <w:r w:rsidR="002E70C9">
        <w:rPr>
          <w:rFonts w:ascii="Times New Roman" w:eastAsia="Times New Roman" w:hAnsi="Times New Roman" w:cs="Times New Roman"/>
          <w:color w:val="222222"/>
          <w:sz w:val="24"/>
          <w:szCs w:val="24"/>
          <w:lang w:eastAsia="ru-RU"/>
        </w:rPr>
        <w:t>т __________ исх. № ________</w:t>
      </w:r>
    </w:p>
    <w:p w:rsidR="002E70C9" w:rsidRPr="002E70C9" w:rsidRDefault="002E70C9"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p>
    <w:p w:rsidR="002E70C9" w:rsidRPr="002E70C9" w:rsidRDefault="002E70C9"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p>
    <w:p w:rsidR="00E31C43" w:rsidRPr="00590A90" w:rsidRDefault="004C3B3A"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С 1 января 2021 года </w:t>
      </w:r>
      <w:r w:rsidR="002E70C9">
        <w:rPr>
          <w:rFonts w:ascii="Times New Roman" w:eastAsia="Times New Roman" w:hAnsi="Times New Roman" w:cs="Times New Roman"/>
          <w:color w:val="222222"/>
          <w:sz w:val="24"/>
          <w:szCs w:val="24"/>
          <w:lang w:eastAsia="ru-RU"/>
        </w:rPr>
        <w:t>вступили в силу следующие</w:t>
      </w:r>
      <w:r w:rsidR="00E31C43" w:rsidRPr="00590A90">
        <w:rPr>
          <w:rFonts w:ascii="Times New Roman" w:eastAsia="Times New Roman" w:hAnsi="Times New Roman" w:cs="Times New Roman"/>
          <w:color w:val="222222"/>
          <w:sz w:val="24"/>
          <w:szCs w:val="24"/>
          <w:lang w:eastAsia="ru-RU"/>
        </w:rPr>
        <w:t xml:space="preserve"> нормативные правовые акты в области охраны труда, пожарной безопасности</w:t>
      </w:r>
      <w:r w:rsidR="00A83372" w:rsidRPr="00590A90">
        <w:rPr>
          <w:rFonts w:ascii="Times New Roman" w:eastAsia="Times New Roman" w:hAnsi="Times New Roman" w:cs="Times New Roman"/>
          <w:color w:val="222222"/>
          <w:sz w:val="24"/>
          <w:szCs w:val="24"/>
          <w:lang w:eastAsia="ru-RU"/>
        </w:rPr>
        <w:t>,</w:t>
      </w:r>
      <w:r w:rsidR="00E31C43" w:rsidRPr="00590A90">
        <w:rPr>
          <w:rFonts w:ascii="Times New Roman" w:eastAsia="Times New Roman" w:hAnsi="Times New Roman" w:cs="Times New Roman"/>
          <w:color w:val="222222"/>
          <w:sz w:val="24"/>
          <w:szCs w:val="24"/>
          <w:lang w:eastAsia="ru-RU"/>
        </w:rPr>
        <w:t xml:space="preserve"> ГО и ЧС:</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 Постановление Правительства Российской Федерации от 16.09.2020 № 1479 «Об утверждении Правил противопожарного режима в Российской Федерации».</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Правила дополнены следующими разделами:</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применение и реализация пиротехнических изделий бытового назначения;</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порядок использования открытого огня и разведения костров на землях сельскохозяйственного назначения, землях запаса и землях населённых пунктов</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В инструкции о мерах пожарной безопасности дополнительно потребуется включить следующую информацию:</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порядок содержания путей доступа подразделений пожарной охраны на объекты защиты (на этажи, кровлю и т.д.);</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обязанности и действия работников при открытии и блокировании в открытом состоянии устройств, препятствующих свободной эвакуации людей (турникеты, вращающиеся двери и т.п.);</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сведения о лицах, отвечающих за отключение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внешней поверхности, способной превысить 90 градусов.</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Правила предусматривают ведение журнала эксплуатации систем противопожарной защиты. Информация о работах, проводимых со средствами обеспечения пожарной безопасности и пожаротушения, вносится в журнал.</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Поменяются нормы обеспечения огнетушителями. Так</w:t>
      </w:r>
      <w:r w:rsidR="00590A90">
        <w:rPr>
          <w:rFonts w:ascii="Times New Roman" w:eastAsia="Times New Roman" w:hAnsi="Times New Roman" w:cs="Times New Roman"/>
          <w:color w:val="222222"/>
          <w:sz w:val="24"/>
          <w:szCs w:val="24"/>
          <w:lang w:eastAsia="ru-RU"/>
        </w:rPr>
        <w:t>, помещения категорий А, Б, В1 -</w:t>
      </w:r>
      <w:r w:rsidRPr="00590A90">
        <w:rPr>
          <w:rFonts w:ascii="Times New Roman" w:eastAsia="Times New Roman" w:hAnsi="Times New Roman" w:cs="Times New Roman"/>
          <w:color w:val="222222"/>
          <w:sz w:val="24"/>
          <w:szCs w:val="24"/>
          <w:lang w:eastAsia="ru-RU"/>
        </w:rPr>
        <w:t xml:space="preserve"> В4, в которых может возникнуть пожар класса Е, потребуется обеспечить устройствами с рангом тушения (55В, С, Е). Все огнетушители должны быть безопасны для людей и имуществ.</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Передвижными огнетушителями не потребуется оснащать здания и сооружения категории Д.</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Огнетушители потребуется крепить на высоте не более 1,5 метров до верха их корпуса.</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Подвальные и цокольные этажи будет запрещено использовать для следующих целей:</w:t>
      </w:r>
    </w:p>
    <w:p w:rsidR="00E31C43" w:rsidRPr="00590A90" w:rsidRDefault="00E31C43" w:rsidP="00590A90">
      <w:pPr>
        <w:pStyle w:val="a3"/>
        <w:numPr>
          <w:ilvl w:val="0"/>
          <w:numId w:val="15"/>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размещение производственных участков и мастерских;</w:t>
      </w:r>
    </w:p>
    <w:p w:rsidR="00E31C43" w:rsidRPr="00590A90" w:rsidRDefault="00E31C43" w:rsidP="00590A90">
      <w:pPr>
        <w:pStyle w:val="a3"/>
        <w:numPr>
          <w:ilvl w:val="0"/>
          <w:numId w:val="15"/>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хранение продукции, оборудования, мебели и других предметов;</w:t>
      </w:r>
    </w:p>
    <w:p w:rsidR="00E31C43" w:rsidRPr="00590A90" w:rsidRDefault="00E31C43" w:rsidP="00590A90">
      <w:pPr>
        <w:pStyle w:val="a3"/>
        <w:numPr>
          <w:ilvl w:val="0"/>
          <w:numId w:val="15"/>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организация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Исключением является случай, когда такое размещение предусмотрено проектной документацией.</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lastRenderedPageBreak/>
        <w:t>Если в подвальном помещении постоянно не находятся люди, помещение должно быть закрыто на замок, а на двери размещена информация о месте хранения ключей. Такое же требование введут для чердачных помещений и технических этажей.</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Если нет норматива, определяющего максимально допустимое количество людей в помещении, необходимо исходить из расчёта не более 1 человека на 1 квадратный метр.</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На учениях необходимо отрабатывать эвакуацию не только персонала, но и посетителей.</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Объекты с массовым пребыванием людей должны оснащаться ручными электрическими фонарями, а также средствами индивидуальной защиты органов дыхания и зрения по тем же нормативам, что и объекты с круглосуточным пребыванием людей, - не менее 1 фонаря и 1 средства индивидуальной защиты на одного дежурного.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Нельзя отключать системы противопожарной защиты для обслуживания или ремонта, если в то же время проводятся мероприятия с массовым пребыванием людей.</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Федеральный закон от 24.04.2020 № 141-ФЗ «О внесении изменений в отдельные законодательные акты Российской Федерации по вопросам допуска в эксплуатацию энергоустановок».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Федеральным законом вносятся изменения в федеральные законы «Об электроэнергетике» и «О теплоснабжении», регламентирующие вопросы получения разрешений на допуск в эксплуатацию объектов электроэнергетики, теплоснабжения, энергопринимающих и теплопотребляющих установок.</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В соответствии с Федеральным законом категории допускаемых объектов, порядок, случаи и условия получения разрешений на допуск будут установлены Правительством Российской Федерации. Соответствующее постановление Правительства России заменит приказ Ростехнадзора от 07.04.2008 № 212 «Об утверждении Порядка организации работ по выдаче разрешений на допуск в эксплуатацию энергоустановок».</w:t>
      </w:r>
    </w:p>
    <w:p w:rsidR="00E31C43" w:rsidRPr="002E70C9" w:rsidRDefault="00E31C43" w:rsidP="002E70C9">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Постановление Правительства Российской </w:t>
      </w:r>
      <w:r w:rsidR="002E70C9">
        <w:rPr>
          <w:rFonts w:ascii="Times New Roman" w:eastAsia="Times New Roman" w:hAnsi="Times New Roman" w:cs="Times New Roman"/>
          <w:color w:val="222222"/>
          <w:sz w:val="24"/>
          <w:szCs w:val="24"/>
          <w:lang w:eastAsia="ru-RU"/>
        </w:rPr>
        <w:t>Федерации от 22.07.2020 № 1084</w:t>
      </w:r>
      <w:r w:rsidRPr="002E70C9">
        <w:rPr>
          <w:rFonts w:ascii="Times New Roman" w:eastAsia="Times New Roman" w:hAnsi="Times New Roman" w:cs="Times New Roman"/>
          <w:color w:val="222222"/>
          <w:sz w:val="24"/>
          <w:szCs w:val="24"/>
          <w:lang w:eastAsia="ru-RU"/>
        </w:rPr>
        <w:t xml:space="preserve"> </w:t>
      </w:r>
      <w:r w:rsidR="00247EFF">
        <w:rPr>
          <w:rFonts w:ascii="Times New Roman" w:eastAsia="Times New Roman" w:hAnsi="Times New Roman" w:cs="Times New Roman"/>
          <w:color w:val="222222"/>
          <w:sz w:val="24"/>
          <w:szCs w:val="24"/>
          <w:lang w:eastAsia="ru-RU"/>
        </w:rPr>
        <w:t xml:space="preserve">           </w:t>
      </w:r>
      <w:r w:rsidRPr="002E70C9">
        <w:rPr>
          <w:rFonts w:ascii="Times New Roman" w:eastAsia="Times New Roman" w:hAnsi="Times New Roman" w:cs="Times New Roman"/>
          <w:color w:val="222222"/>
          <w:sz w:val="24"/>
          <w:szCs w:val="24"/>
          <w:lang w:eastAsia="ru-RU"/>
        </w:rPr>
        <w:t>«О порядке проведения расчетов по оценке пожарного риска» (вместе с «Правилами проведения расчетов по оценке пожарного риска»).</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Оценку пожарного риска нужно будет проводить путем сопоставления расчетных величин пожарного риска с нормативными значениями, которые установлены Федеральным законом от 22.07.2008 № 123-ФЗ «Технический регламент о требованиях пожарной безопасности»</w:t>
      </w:r>
      <w:r w:rsidR="00247EFF">
        <w:rPr>
          <w:rFonts w:ascii="Times New Roman" w:eastAsia="Times New Roman" w:hAnsi="Times New Roman" w:cs="Times New Roman"/>
          <w:color w:val="222222"/>
          <w:sz w:val="24"/>
          <w:szCs w:val="24"/>
          <w:lang w:eastAsia="ru-RU"/>
        </w:rPr>
        <w:t>.</w:t>
      </w:r>
      <w:r w:rsidRPr="00590A90">
        <w:rPr>
          <w:rFonts w:ascii="Times New Roman" w:eastAsia="Times New Roman" w:hAnsi="Times New Roman" w:cs="Times New Roman"/>
          <w:color w:val="222222"/>
          <w:sz w:val="24"/>
          <w:szCs w:val="24"/>
          <w:lang w:eastAsia="ru-RU"/>
        </w:rPr>
        <w:t xml:space="preserve">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Результаты расчета по оценке пожарного риска нужно будет оформить в виде отчета, который содержит:</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наименование и адрес объекта защиты;</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исходные данные для проведения расчета по оценке пожарного риска;</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анализ пожарной опасности;</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наименование использованной методики расчета по оценке пожарного риска;</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значения расчетных величин пожарного риска для объекта защиты;</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вывод о соответствии или несоответствии расчетных величин пожарного риска соответствующим нормативным значениям.</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Постановление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Положением устанавливаются требования по организации и проведению инструктажа по действиям в чрезвычайных ситуациях. Для физических лиц, состоящих в трудовых отношениях с работодателем необходимо проводить инструктаж по действиям в чрезвычайных ситуациях. Инструктаж по действиям в чрезвычайных ситуациях проводят не реже одного раза в год и при приеме на работу в течение первого месяца работы, Также предусмотрено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lastRenderedPageBreak/>
        <w:t xml:space="preserve">Приказ Министерства здравоохранения Российской Федерации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Состав автомобильной аптечки дополнился следующими изделиями:</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маска медицинская нестерильная одноразовая (не менее 2 штук);</w:t>
      </w:r>
    </w:p>
    <w:p w:rsidR="00E31C43" w:rsidRPr="00590A90" w:rsidRDefault="00E31C43" w:rsidP="00590A90">
      <w:pPr>
        <w:pStyle w:val="a3"/>
        <w:numPr>
          <w:ilvl w:val="0"/>
          <w:numId w:val="21"/>
        </w:numPr>
        <w:autoSpaceDE w:val="0"/>
        <w:autoSpaceDN w:val="0"/>
        <w:adjustRightInd w:val="0"/>
        <w:spacing w:after="0" w:line="240" w:lineRule="auto"/>
        <w:ind w:left="0" w:firstLine="709"/>
        <w:rPr>
          <w:rFonts w:ascii="Times New Roman" w:hAnsi="Times New Roman" w:cs="Times New Roman"/>
          <w:sz w:val="24"/>
          <w:szCs w:val="24"/>
        </w:rPr>
      </w:pPr>
      <w:r w:rsidRPr="00590A90">
        <w:rPr>
          <w:rFonts w:ascii="Times New Roman" w:eastAsia="Times New Roman" w:hAnsi="Times New Roman" w:cs="Times New Roman"/>
          <w:color w:val="222222"/>
          <w:sz w:val="24"/>
          <w:szCs w:val="24"/>
          <w:lang w:eastAsia="ru-RU"/>
        </w:rPr>
        <w:t xml:space="preserve">перчатки медицинские нестерильные </w:t>
      </w:r>
      <w:r w:rsidRPr="00590A90">
        <w:rPr>
          <w:rFonts w:ascii="Times New Roman" w:hAnsi="Times New Roman" w:cs="Times New Roman"/>
          <w:sz w:val="24"/>
          <w:szCs w:val="24"/>
        </w:rPr>
        <w:t>размером не менее М (не менее 2 пар);</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бинт марлевый медицинский размером не менее 5 м x 10 см (не менее 4 штук) </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бинт марлевый медицинский размером не менее 7 м х 14 см (не менее 3 штук);</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салфетки марлевые медицинские стерильные размером не менее 16 см х 14 см № 10 (не менее 2 упаковок);</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лейкопластырь фиксирующий рулонный размером не менее 2 x 500 см (не менее 1 штуки).</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Аптечки, собранные до 31 декабря 2020 года включительно применяются в течение срока годности, но не позднее 31 декабря 2024 года.</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Приказ Министерства транспорта Российской Федерации от 26.10.2020 № 438 «Об утверждении Порядка оснащения транспортных средств тахографами». </w:t>
      </w:r>
    </w:p>
    <w:p w:rsidR="00E31C43" w:rsidRPr="00590A90" w:rsidRDefault="00E31C43" w:rsidP="00590A90">
      <w:pPr>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Порядок применяется юридическими лицами, индивидуальными предпринимателями, осуществляющими эксплуатацию транспортных средств, а также физическими лицами, осуществляющими эксплуатацию грузовых автомобилей, разрешенная максимальная масса которых превышает 3,5 тонн, и автобусов, в целях обеспечения безопасности дорожного движения.</w:t>
      </w:r>
    </w:p>
    <w:p w:rsidR="00E31C43" w:rsidRPr="00590A90" w:rsidRDefault="00E31C43" w:rsidP="00590A90">
      <w:pPr>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Оснащение транспортного средства тахографом обеспечивается владельцем транспортного средства и осуществляется мастерской, сведения о которой учтены федеральным бюджетным учреждением «Агентство автомобильного транспорта» в перечне сведений о мастерских.</w:t>
      </w:r>
    </w:p>
    <w:p w:rsidR="00E31C43" w:rsidRPr="00590A90" w:rsidRDefault="00E31C43" w:rsidP="00590A90">
      <w:pPr>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В ходе оснащения транспортного средства тахографом мастерская осуществляет:</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установку тахографа, сведения, о модели которого учтены федеральным бюджетным учреждением «Агентство автомобильного транспорта»  в перечне сведений о моделях тахографов;</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активизацию тахографа и программно-аппаратного шифровального (криптографического) средства;</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настройку тахографа;</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опломбирование тахографа.</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Times New Roman" w:hAnsi="Times New Roman" w:cs="Times New Roman"/>
          <w:color w:val="000000" w:themeColor="text1"/>
          <w:sz w:val="24"/>
          <w:szCs w:val="24"/>
          <w:lang w:eastAsia="ru-RU"/>
        </w:rPr>
        <w:t>Приказ Министерства транспорта Российской Федерации от 07.10.2020 № 413 «Об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утверждает виды автомобилей для перевозки пассажиров, опасных грузов, транспортирования ТКО, подлежащих оснащению аппаратурой спутниковой навигации ГЛОНАСС или ГЛОНАСС/GPS.</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К автомобильным транспортным средствам, используемым для перевозки пассажиров, отнесены транспортные средства категорий M2, M3. </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Категория М2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Категория М3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тонн.</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Министерства транспорта Российской Федерации от 16.10.2020 № 424 «Об утверждении Особенностей режима рабочего времени и времени отдыха, условий труда водителей автомобилей».</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Особенности режима рабочего времени и времени отдыха устанавливают следующее:</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Время управления автомобилем в течение периода времени, не превышающего 24 часов, после завершения ежедневного отдыха или еженедельного отдыха и началом следующего ежедневного отдыха или еженедельного отдыха, не должно превышать 9 часов. Допускается увеличение этого времени до 10 часов, но не более двух раз в течение календарной недели.</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Водитель вправе увеличить время управления автомобилем в целях завершения перевозки и (или) следования к месту стоянки, но не более чем на 2 часа.</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перевозки на служебных легковых автомобилях при обслуживании руководителей организаций, перевозки на инкассаторских автомобилях, перевозки на легковых такси, а также водителям, работающим в составе вахтовых бригад при вахтовом методе организации работ, продолжительность ежедневной работы может быть увеличена работодателем до 12 часов.</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 согласия водителей рабочий день может быть разделен на части. Разделение рабочего дня 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Перерыв между частями рабочего дня устанавливается не позже, чем через 5 часов после начала работы. При разделении рабочего дня на части суммарное время перерывов между частями рабочего дня не может превышать:</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для водителей, осуществляющих регулярные перевозки пассажиров и багажа в городском и пригородном сообщении – 3 часа;</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для остальных водителей – 5 часов.</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Время перерыва между частями рабочего дня в рабочее время не включается.</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Еженедельный отдых должен составлять не менее 45 часов. Этот отдых должен начинаться не позднее шестого ежедневного периода, наступающего с момента завершения предыдущего еженедельного отдыха.</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Допускается сокращение еженедельного отдыха до значения не менее 24 часов, не более одного раза в течение любых двух последовательных календарных недель. Разница времени, на которое сокращен еженедельный отдых,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 в которой еженедельный отдых был сокращен. Этот период отдыха должен быть присоединен к ежедневному отдыху, продолжительностью не менее 9 часов, или очередному еженедельному отдыху.</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Не позднее 4 часов 30 минут времени управления автомобилем, после окончания времени отдыха или специального перерыва, водитель обязан сделать специальный перерыв продолжительностью не менее 45 минут, если не наступает время отдыха или перерыва, продолжительность которых превышает продолжительность специального перерыва.</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Специальный перерыв может быть разделен на несколько частей, первая из которых должна составлять не менее 15 минут, а последняя - не менее 30 минут.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При суммированном учете рабочего времени ежедневный отдых должен составлять не менее 11 часов. Разрешено сокращать это время до 9 часов, но не более трех раз в период между еженедельными отдыхами. Также работодатели смогут разделять ежедневный отдых на части: первая должна быть не менее 3 часов, а последняя – не менее 9 часов. </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Министерства транспорта Российской Федерации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w:t>
      </w:r>
      <w:r w:rsidR="00093E7B">
        <w:rPr>
          <w:rFonts w:ascii="Times New Roman" w:eastAsia="Calibri" w:hAnsi="Times New Roman" w:cs="Times New Roman"/>
          <w:color w:val="000000" w:themeColor="text1"/>
          <w:sz w:val="24"/>
          <w:szCs w:val="24"/>
        </w:rPr>
        <w:t xml:space="preserve">      </w:t>
      </w:r>
      <w:r w:rsidRPr="00590A90">
        <w:rPr>
          <w:rFonts w:ascii="Times New Roman" w:eastAsia="Calibri" w:hAnsi="Times New Roman" w:cs="Times New Roman"/>
          <w:color w:val="000000" w:themeColor="text1"/>
          <w:sz w:val="24"/>
          <w:szCs w:val="24"/>
        </w:rPr>
        <w:t xml:space="preserve"> «О безопасности дорожного движения».</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Приказ устанавливает требования к необходимым знаниям, умениям, профессиональному образованию, стажу (опыту) работы по специальности работников юридических лиц и индивидуальных предпринимателей, осуществляющих перевозки пассажиров на основании договора перевозки или договора фрахтования и (или) грузов на основании договора перевозки, а также осуществляющих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К персоналу организаций, занятых коммерческими перевозками или перевозками для собственных нужд автобусами и грузовиками, станут предъявлять больше требований. Так, водители легковых автомобилей среди прочего будут обязаны:</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 xml:space="preserve">- </w:t>
      </w:r>
      <w:hyperlink r:id="rId7" w:history="1">
        <w:r w:rsidRPr="00590A90">
          <w:rPr>
            <w:rStyle w:val="a4"/>
            <w:rFonts w:ascii="Times New Roman" w:hAnsi="Times New Roman" w:cs="Times New Roman"/>
            <w:color w:val="000000" w:themeColor="text1"/>
            <w:sz w:val="24"/>
            <w:szCs w:val="24"/>
            <w:u w:val="none"/>
          </w:rPr>
          <w:t>понимать</w:t>
        </w:r>
      </w:hyperlink>
      <w:r w:rsidRPr="00590A90">
        <w:rPr>
          <w:rFonts w:ascii="Times New Roman" w:hAnsi="Times New Roman" w:cs="Times New Roman"/>
          <w:color w:val="000000" w:themeColor="text1"/>
          <w:sz w:val="24"/>
          <w:szCs w:val="24"/>
        </w:rPr>
        <w:t>, как оказывать помощь при посадке и высадке пассажиров, в том числе с использованием спецустройств для инвалидов;</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 xml:space="preserve">- </w:t>
      </w:r>
      <w:hyperlink r:id="rId8" w:history="1">
        <w:r w:rsidRPr="00590A90">
          <w:rPr>
            <w:rStyle w:val="a4"/>
            <w:rFonts w:ascii="Times New Roman" w:hAnsi="Times New Roman" w:cs="Times New Roman"/>
            <w:color w:val="000000" w:themeColor="text1"/>
            <w:sz w:val="24"/>
            <w:szCs w:val="24"/>
            <w:u w:val="none"/>
          </w:rPr>
          <w:t>знать</w:t>
        </w:r>
      </w:hyperlink>
      <w:r w:rsidRPr="00590A90">
        <w:rPr>
          <w:rFonts w:ascii="Times New Roman" w:hAnsi="Times New Roman" w:cs="Times New Roman"/>
          <w:color w:val="000000" w:themeColor="text1"/>
          <w:sz w:val="24"/>
          <w:szCs w:val="24"/>
        </w:rPr>
        <w:t xml:space="preserve"> основы погрузки, разгрузки, размещения и крепления грузовых мест и багажа в машине.</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Приказ Министерства транспорта Российской Федерации от 29.07.2020 № 264 </w:t>
      </w:r>
      <w:r w:rsidR="00093E7B">
        <w:rPr>
          <w:rFonts w:ascii="Times New Roman" w:eastAsia="Calibri" w:hAnsi="Times New Roman" w:cs="Times New Roman"/>
          <w:color w:val="000000" w:themeColor="text1"/>
          <w:sz w:val="24"/>
          <w:szCs w:val="24"/>
        </w:rPr>
        <w:t xml:space="preserve">      </w:t>
      </w:r>
      <w:r w:rsidRPr="00590A90">
        <w:rPr>
          <w:rFonts w:ascii="Times New Roman" w:eastAsia="Calibri" w:hAnsi="Times New Roman" w:cs="Times New Roman"/>
          <w:color w:val="000000" w:themeColor="text1"/>
          <w:sz w:val="24"/>
          <w:szCs w:val="24"/>
        </w:rPr>
        <w: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r w:rsidR="00093E7B">
        <w:rPr>
          <w:rFonts w:ascii="Times New Roman" w:eastAsia="Calibri" w:hAnsi="Times New Roman" w:cs="Times New Roman"/>
          <w:color w:val="000000" w:themeColor="text1"/>
          <w:sz w:val="24"/>
          <w:szCs w:val="24"/>
        </w:rPr>
        <w:t>.</w:t>
      </w:r>
      <w:r w:rsidRPr="00590A90">
        <w:rPr>
          <w:rFonts w:ascii="Times New Roman" w:eastAsia="Calibri" w:hAnsi="Times New Roman" w:cs="Times New Roman"/>
          <w:color w:val="000000" w:themeColor="text1"/>
          <w:sz w:val="24"/>
          <w:szCs w:val="24"/>
        </w:rPr>
        <w:t xml:space="preserve"> </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устанавливает 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Порядок распространяется на юридических лиц и индивидуальных предпринимателей, осуществляющих деятельность, связанную с эксплуатацией транспортных средств.</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Профессиональный отбор проводится с целью привлечения лиц к выполнению обязанностей, непосредственно связанных с движением транспортных средств, соответствующих профессиональным и квалификационным требованиям, предъявляемым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от 10.12.1995 № 196-ФЗ «О безопасности дорожного движения».</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Профессиональный отбор включает в себя:</w:t>
      </w:r>
    </w:p>
    <w:p w:rsidR="00E31C43" w:rsidRPr="00590A90" w:rsidRDefault="00E31C43" w:rsidP="00590A90">
      <w:pPr>
        <w:pStyle w:val="a3"/>
        <w:numPr>
          <w:ilvl w:val="0"/>
          <w:numId w:val="23"/>
        </w:numPr>
        <w:spacing w:after="0" w:line="240" w:lineRule="auto"/>
        <w:ind w:left="0" w:firstLine="698"/>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подтверждение соответствия представленных работником документов профессиональным и квалификационным требованиям;</w:t>
      </w:r>
    </w:p>
    <w:p w:rsidR="00E31C43" w:rsidRPr="00590A90" w:rsidRDefault="00E31C43" w:rsidP="00590A90">
      <w:pPr>
        <w:pStyle w:val="a3"/>
        <w:numPr>
          <w:ilvl w:val="0"/>
          <w:numId w:val="23"/>
        </w:numPr>
        <w:spacing w:after="0" w:line="240" w:lineRule="auto"/>
        <w:ind w:left="0" w:firstLine="698"/>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испытание.</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Министерства транспорта Российской Федерации от 11.09.2020 № 368 «Об утверждении обязательных реквизитов и порядка заполнения путевых листов».</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Приказом устанавливаются обязательные реквизиты, которые должны указываться в путевом листе:</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наименование и номер путевого листа;</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сроке действия путевого листа;</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собственнике (владельце) транспортного средства;</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транспортном средстве;</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водителе;</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перевозке.</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Путевой лист должен оформляться при любом использовании транспортного средства вне зависимости от вида и особенностей перевозки.</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Сведения о транспортном средстве включают:</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тип транспортного средства, марку и модель транспортного средства, а в случае если транспортное средство используется с прицепом, марку и модель прицепа;</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государственный регистрационный номер транспортного средства, и  регистрационный номер прицепа;</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показания одометра при выезде транспортного средства с парковки, а также при заезде транспортного средства на парковку по окончании смены (рабочего дня);</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дату и время проведения предрейсового или предсменного контроля технического состояния транспортного средства, если обязательность его проведения предусмотрена законодательством;</w:t>
      </w:r>
    </w:p>
    <w:p w:rsidR="00E31C43" w:rsidRPr="00590A90" w:rsidRDefault="00590A90"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w:t>
      </w:r>
      <w:r w:rsidR="00E31C43" w:rsidRPr="00590A90">
        <w:rPr>
          <w:rFonts w:ascii="Times New Roman" w:eastAsia="Calibri" w:hAnsi="Times New Roman" w:cs="Times New Roman"/>
          <w:color w:val="000000" w:themeColor="text1"/>
          <w:sz w:val="24"/>
          <w:szCs w:val="24"/>
        </w:rPr>
        <w:t>ату и время выпуска транспортного средства на линию и его возвращения.</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Сведения о перевозке включают информацию о видах сообщения и видах перевозок.</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Собственники (владельцы) транспортных средств обязаны регистрировать оформленные путевые листы в журнале регистрации путевых листов.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печати страниц журнала на бумажном носителе.</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 случае ведения журнала в электронной форме внесенные в него сведения заверяются усиленной квалифицированной электронной подписью.</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Новый приказ устанавливает положение, обязывающее проставлять в путевом листе отметки о прохождении предрейсовых и послерейсовых медицинских осмотров. </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Приказ Министерства транспорта Российской Федерации от 31.07.2020 № 283 «Об утверждении Порядка аттестации ответственного за обеспечение безопасности дорожного движения на право заниматься соответствующей деятельностью». </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Приказом устанавливается процедура проведения аттестации кандидатов на право заниматься деятельностью по обеспечению безопасности дорожного движения. Аттестация проводится в целях определения возможности кандидата осуществлять функции ответственного за обеспечение безопасности дорожного движения.</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Кандидат должен разместить заявку на прохождение аттестации на официальном сайте. В день регистрации заявки Федеральная служба по надзору в сфере транспорта и федеральное бюджетное учреждение «Агентство автомобильного транспорта» информирует кандидата о дате, времени, месте проведения аттестации с использованием информационно-телекоммуникационной сети «Интернет» посредством направления уведомления на адрес электронной почты, указанный кандидатом в заявке.</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 порядке приводится перечень документов, представляемых кандидатом на аттестацию. В случае представления кандидатом неполного комплекта документов или несоответствия данных о кандидате, содержащихся в документах, данным, указанным кандидатом в заявке, кандидат к аттестации не допускается.</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Аттестация проводится в форме тестирования на русском языке. Перечень вопросов тестового задания размещается на официальном сайте. В Перечень включается не менее 300 вопросов из области организации работ по обеспечению безопасности дорожного движения, в том числе в части режима труда и отдыха водителей, обеспечения безопасности перевозок пассажиров и грузов, технической эксплуатации транспортных средств, с представленными на выбор вариантами ответов (не менее трех).</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Тестовое задание содержит 20 вопросов, на которые кандидат должен ответить в течение 30 минут. Тестирование считается пройденным, если кандидат правильно ответит не менее чем на 18 вопросов тестового задания.</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 результатам тестирования аттестационной комиссией в отношении кандидата принимается решение о его аттестации или об отказе в аттестации. Началом действия аттестации является дата внесения реестровой записи о специалисте, указанная в реестре аттестованных специалистов.</w:t>
      </w:r>
    </w:p>
    <w:p w:rsidR="00886478" w:rsidRPr="00590A90" w:rsidRDefault="00886478"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Федеральный закон от 30.12.2020 № 503-ФЗ «О внесении изменений в статьи 8 и 11 Федерального закона «О специальной оценке условий труда»</w:t>
      </w:r>
      <w:r w:rsidR="00886E45" w:rsidRPr="00590A90">
        <w:rPr>
          <w:rFonts w:ascii="Times New Roman" w:eastAsia="Calibri" w:hAnsi="Times New Roman" w:cs="Times New Roman"/>
          <w:color w:val="000000" w:themeColor="text1"/>
          <w:sz w:val="24"/>
          <w:szCs w:val="24"/>
        </w:rPr>
        <w:t>.</w:t>
      </w:r>
    </w:p>
    <w:p w:rsidR="00886478" w:rsidRPr="00590A90" w:rsidRDefault="00886478"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Внесенные федеральным законом изменения установили бессрочный срок действия декларации соответствия условий труда государственным норма</w:t>
      </w:r>
      <w:r w:rsidR="00973E8A">
        <w:rPr>
          <w:rFonts w:ascii="Times New Roman" w:eastAsia="Calibri" w:hAnsi="Times New Roman" w:cs="Times New Roman"/>
          <w:color w:val="000000" w:themeColor="text1"/>
          <w:sz w:val="24"/>
          <w:szCs w:val="24"/>
        </w:rPr>
        <w:t>тивным требованиям охраны труда</w:t>
      </w:r>
      <w:r w:rsidRPr="00590A90">
        <w:rPr>
          <w:rFonts w:ascii="Times New Roman" w:eastAsia="Calibri" w:hAnsi="Times New Roman" w:cs="Times New Roman"/>
          <w:color w:val="000000" w:themeColor="text1"/>
          <w:sz w:val="24"/>
          <w:szCs w:val="24"/>
        </w:rPr>
        <w:t xml:space="preserve"> в случае сохранения условий труда на соответствующем рабочем месте. Повторное проведение специальной оценки условий труда не потребуется до наступления обстоятельств, включающих несчастный случай на производстве, профессиональное заболевание, причиной которых явилось воздействие на работника вредных и (или) опасных производственных факторов, нарушения государственных норматив</w:t>
      </w:r>
      <w:r w:rsidR="00973E8A">
        <w:rPr>
          <w:rFonts w:ascii="Times New Roman" w:eastAsia="Calibri" w:hAnsi="Times New Roman" w:cs="Times New Roman"/>
          <w:color w:val="000000" w:themeColor="text1"/>
          <w:sz w:val="24"/>
          <w:szCs w:val="24"/>
        </w:rPr>
        <w:t>ных требований охраны труда. В</w:t>
      </w:r>
      <w:r w:rsidRPr="00590A90">
        <w:rPr>
          <w:rFonts w:ascii="Times New Roman" w:eastAsia="Calibri" w:hAnsi="Times New Roman" w:cs="Times New Roman"/>
          <w:color w:val="000000" w:themeColor="text1"/>
          <w:sz w:val="24"/>
          <w:szCs w:val="24"/>
        </w:rPr>
        <w:t xml:space="preserve"> случае </w:t>
      </w:r>
      <w:r w:rsidR="00973E8A">
        <w:rPr>
          <w:rFonts w:ascii="Times New Roman" w:eastAsia="Calibri" w:hAnsi="Times New Roman" w:cs="Times New Roman"/>
          <w:color w:val="000000" w:themeColor="text1"/>
          <w:sz w:val="24"/>
          <w:szCs w:val="24"/>
        </w:rPr>
        <w:t xml:space="preserve">возникновения данных обстоятельств </w:t>
      </w:r>
      <w:r w:rsidRPr="00590A90">
        <w:rPr>
          <w:rFonts w:ascii="Times New Roman" w:eastAsia="Calibri" w:hAnsi="Times New Roman" w:cs="Times New Roman"/>
          <w:color w:val="000000" w:themeColor="text1"/>
          <w:sz w:val="24"/>
          <w:szCs w:val="24"/>
        </w:rPr>
        <w:t xml:space="preserve">действие данной декларации </w:t>
      </w:r>
      <w:r w:rsidR="00973E8A">
        <w:rPr>
          <w:rFonts w:ascii="Times New Roman" w:eastAsia="Calibri" w:hAnsi="Times New Roman" w:cs="Times New Roman"/>
          <w:color w:val="000000" w:themeColor="text1"/>
          <w:sz w:val="24"/>
          <w:szCs w:val="24"/>
        </w:rPr>
        <w:t xml:space="preserve">в отношении такого рабочего места </w:t>
      </w:r>
      <w:r w:rsidRPr="00590A90">
        <w:rPr>
          <w:rFonts w:ascii="Times New Roman" w:eastAsia="Calibri" w:hAnsi="Times New Roman" w:cs="Times New Roman"/>
          <w:color w:val="000000" w:themeColor="text1"/>
          <w:sz w:val="24"/>
          <w:szCs w:val="24"/>
        </w:rPr>
        <w:t xml:space="preserve">прекращается и проводится внеплановая специальная оценка условий труда. </w:t>
      </w:r>
    </w:p>
    <w:p w:rsidR="00886478" w:rsidRPr="00590A90" w:rsidRDefault="00886478"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Внесенные изменения также применяются в отношении действующих деклараций соответствия условий труда государственным нормативным требованиям охраны труда, внесенных в реестр деклараций соответствия условий труда государственным нормативным требованиям охраны труда.</w:t>
      </w:r>
    </w:p>
    <w:p w:rsidR="00E31C43" w:rsidRPr="00590A90" w:rsidRDefault="00E879C9"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Постановление Главного государственного санитарного врача Р</w:t>
      </w:r>
      <w:r w:rsidR="00973E8A">
        <w:rPr>
          <w:rFonts w:ascii="Times New Roman" w:eastAsia="Calibri" w:hAnsi="Times New Roman" w:cs="Times New Roman"/>
          <w:color w:val="000000" w:themeColor="text1"/>
          <w:sz w:val="24"/>
          <w:szCs w:val="24"/>
        </w:rPr>
        <w:t>оссийской Федерации</w:t>
      </w:r>
      <w:r w:rsidRPr="00590A90">
        <w:rPr>
          <w:rFonts w:ascii="Times New Roman" w:eastAsia="Calibri" w:hAnsi="Times New Roman" w:cs="Times New Roman"/>
          <w:color w:val="000000" w:themeColor="text1"/>
          <w:sz w:val="24"/>
          <w:szCs w:val="24"/>
        </w:rPr>
        <w:t xml:space="preserve"> от 02.12.2020 № 40 «Об утверждении санитарных правил СП</w:t>
      </w:r>
      <w:r w:rsidR="009D7376" w:rsidRPr="00590A90">
        <w:rPr>
          <w:rFonts w:ascii="Times New Roman" w:eastAsia="Calibri" w:hAnsi="Times New Roman" w:cs="Times New Roman"/>
          <w:color w:val="000000" w:themeColor="text1"/>
          <w:sz w:val="24"/>
          <w:szCs w:val="24"/>
        </w:rPr>
        <w:t xml:space="preserve"> 2.2.3670-20 «</w:t>
      </w:r>
      <w:r w:rsidRPr="00590A90">
        <w:rPr>
          <w:rFonts w:ascii="Times New Roman" w:eastAsia="Calibri" w:hAnsi="Times New Roman" w:cs="Times New Roman"/>
          <w:color w:val="000000" w:themeColor="text1"/>
          <w:sz w:val="24"/>
          <w:szCs w:val="24"/>
        </w:rPr>
        <w:t>Санитарно-эпидемиологические требования к условиям труда»</w:t>
      </w:r>
      <w:r w:rsidR="00973E8A">
        <w:rPr>
          <w:rFonts w:ascii="Times New Roman" w:eastAsia="Calibri" w:hAnsi="Times New Roman" w:cs="Times New Roman"/>
          <w:color w:val="000000" w:themeColor="text1"/>
          <w:sz w:val="24"/>
          <w:szCs w:val="24"/>
        </w:rPr>
        <w:t xml:space="preserve"> (далее – Санитарные правила).</w:t>
      </w:r>
      <w:r w:rsidRPr="00590A90">
        <w:rPr>
          <w:rFonts w:ascii="Times New Roman" w:eastAsia="Calibri" w:hAnsi="Times New Roman" w:cs="Times New Roman"/>
          <w:color w:val="000000" w:themeColor="text1"/>
          <w:sz w:val="24"/>
          <w:szCs w:val="24"/>
        </w:rPr>
        <w:t xml:space="preserve"> </w:t>
      </w:r>
    </w:p>
    <w:p w:rsidR="00435350" w:rsidRPr="00590A90" w:rsidRDefault="00435350"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Санитарные правила устанавливают обязательные требования к обеспечению безопасных условий труда</w:t>
      </w:r>
      <w:r w:rsidR="00973E8A" w:rsidRPr="00973E8A">
        <w:rPr>
          <w:rFonts w:ascii="Times New Roman" w:eastAsia="Calibri" w:hAnsi="Times New Roman" w:cs="Times New Roman"/>
          <w:color w:val="000000" w:themeColor="text1"/>
          <w:sz w:val="24"/>
          <w:szCs w:val="24"/>
        </w:rPr>
        <w:t xml:space="preserve"> </w:t>
      </w:r>
      <w:r w:rsidR="00973E8A" w:rsidRPr="00590A90">
        <w:rPr>
          <w:rFonts w:ascii="Times New Roman" w:eastAsia="Calibri" w:hAnsi="Times New Roman" w:cs="Times New Roman"/>
          <w:color w:val="000000" w:themeColor="text1"/>
          <w:sz w:val="24"/>
          <w:szCs w:val="24"/>
        </w:rPr>
        <w:t>для человека</w:t>
      </w:r>
      <w:r w:rsidRPr="00590A90">
        <w:rPr>
          <w:rFonts w:ascii="Times New Roman" w:eastAsia="Calibri" w:hAnsi="Times New Roman" w:cs="Times New Roman"/>
          <w:color w:val="000000" w:themeColor="text1"/>
          <w:sz w:val="24"/>
          <w:szCs w:val="24"/>
        </w:rPr>
        <w:t>. Санитарные правила не распространяются на условия труда водолазов, космонавтов, условия выполнения аварийно-спасательных работ или боевых задач.</w:t>
      </w:r>
    </w:p>
    <w:p w:rsidR="00435350" w:rsidRPr="00590A90" w:rsidRDefault="00435350"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Юридические лица и индивидуальные предприниматели обязаны осуществлять:</w:t>
      </w:r>
    </w:p>
    <w:p w:rsidR="00435350" w:rsidRPr="00590A90" w:rsidRDefault="00435350" w:rsidP="00590A90">
      <w:pPr>
        <w:pStyle w:val="a3"/>
        <w:numPr>
          <w:ilvl w:val="0"/>
          <w:numId w:val="27"/>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производственный контроль за условиями труда;</w:t>
      </w:r>
    </w:p>
    <w:p w:rsidR="00435350" w:rsidRPr="00590A90" w:rsidRDefault="00435350" w:rsidP="00590A90">
      <w:pPr>
        <w:pStyle w:val="a3"/>
        <w:numPr>
          <w:ilvl w:val="0"/>
          <w:numId w:val="27"/>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разрабатывать и проводить санитарно-противоэпидемические (профилактические) мероприятия, предусмотренные Санитарными правилами.</w:t>
      </w:r>
    </w:p>
    <w:p w:rsidR="00435350" w:rsidRPr="00590A90" w:rsidRDefault="00435350"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 направленных на снижение рисков для здоровья человека в части профессиональных заболеваний, заболеваний (отравлений) и инфекционных заболеваний, связанных с условиями труда.</w:t>
      </w:r>
    </w:p>
    <w:p w:rsidR="00435350" w:rsidRPr="00590A90" w:rsidRDefault="00973E8A"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приложении к С</w:t>
      </w:r>
      <w:r w:rsidR="00435350" w:rsidRPr="00590A90">
        <w:rPr>
          <w:rFonts w:ascii="Times New Roman" w:eastAsia="Calibri" w:hAnsi="Times New Roman" w:cs="Times New Roman"/>
          <w:color w:val="000000" w:themeColor="text1"/>
          <w:sz w:val="24"/>
          <w:szCs w:val="24"/>
        </w:rPr>
        <w:t>анитарным правилам приведены требования к условиям труда в зависимости от вида деятельности и особенностей технологических процессов.</w:t>
      </w:r>
    </w:p>
    <w:p w:rsidR="009D7376" w:rsidRPr="00590A90" w:rsidRDefault="009D7376"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Постановление </w:t>
      </w:r>
      <w:r w:rsidR="0096770D" w:rsidRPr="00590A90">
        <w:rPr>
          <w:rFonts w:ascii="Times New Roman" w:eastAsia="Calibri" w:hAnsi="Times New Roman" w:cs="Times New Roman"/>
          <w:color w:val="000000" w:themeColor="text1"/>
          <w:sz w:val="24"/>
          <w:szCs w:val="24"/>
        </w:rPr>
        <w:t>Правительства Р</w:t>
      </w:r>
      <w:r w:rsidR="00973E8A">
        <w:rPr>
          <w:rFonts w:ascii="Times New Roman" w:eastAsia="Calibri" w:hAnsi="Times New Roman" w:cs="Times New Roman"/>
          <w:color w:val="000000" w:themeColor="text1"/>
          <w:sz w:val="24"/>
          <w:szCs w:val="24"/>
        </w:rPr>
        <w:t>оссийской Федерации</w:t>
      </w:r>
      <w:r w:rsidR="0096770D" w:rsidRPr="00590A90">
        <w:rPr>
          <w:rFonts w:ascii="Times New Roman" w:eastAsia="Calibri" w:hAnsi="Times New Roman" w:cs="Times New Roman"/>
          <w:color w:val="000000" w:themeColor="text1"/>
          <w:sz w:val="24"/>
          <w:szCs w:val="24"/>
        </w:rPr>
        <w:t xml:space="preserve"> от 31.12.2020 № 2467 «</w:t>
      </w:r>
      <w:r w:rsidRPr="00590A90">
        <w:rPr>
          <w:rFonts w:ascii="Times New Roman" w:eastAsia="Calibri" w:hAnsi="Times New Roman" w:cs="Times New Roman"/>
          <w:color w:val="000000" w:themeColor="text1"/>
          <w:sz w:val="24"/>
          <w:szCs w:val="24"/>
        </w:rPr>
        <w: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w:t>
      </w:r>
      <w:r w:rsidR="0096770D" w:rsidRPr="00590A90">
        <w:rPr>
          <w:rFonts w:ascii="Times New Roman" w:eastAsia="Calibri" w:hAnsi="Times New Roman" w:cs="Times New Roman"/>
          <w:color w:val="000000" w:themeColor="text1"/>
          <w:sz w:val="24"/>
          <w:szCs w:val="24"/>
        </w:rPr>
        <w:t xml:space="preserve"> статьи 15 Федерального закона «</w:t>
      </w:r>
      <w:r w:rsidRPr="00590A90">
        <w:rPr>
          <w:rFonts w:ascii="Times New Roman" w:eastAsia="Calibri" w:hAnsi="Times New Roman" w:cs="Times New Roman"/>
          <w:color w:val="000000" w:themeColor="text1"/>
          <w:sz w:val="24"/>
          <w:szCs w:val="24"/>
        </w:rPr>
        <w:t>Об обязательных тре</w:t>
      </w:r>
      <w:r w:rsidR="0096770D" w:rsidRPr="00590A90">
        <w:rPr>
          <w:rFonts w:ascii="Times New Roman" w:eastAsia="Calibri" w:hAnsi="Times New Roman" w:cs="Times New Roman"/>
          <w:color w:val="000000" w:themeColor="text1"/>
          <w:sz w:val="24"/>
          <w:szCs w:val="24"/>
        </w:rPr>
        <w:t>бованиях в Российской Федерации».</w:t>
      </w:r>
    </w:p>
    <w:p w:rsidR="0096770D" w:rsidRPr="00590A90" w:rsidRDefault="0096770D" w:rsidP="00247EFF">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Правительством </w:t>
      </w:r>
      <w:r w:rsidR="00973E8A" w:rsidRPr="00590A90">
        <w:rPr>
          <w:rFonts w:ascii="Times New Roman" w:eastAsia="Calibri" w:hAnsi="Times New Roman" w:cs="Times New Roman"/>
          <w:color w:val="000000" w:themeColor="text1"/>
          <w:sz w:val="24"/>
          <w:szCs w:val="24"/>
        </w:rPr>
        <w:t>Р</w:t>
      </w:r>
      <w:r w:rsidR="00973E8A">
        <w:rPr>
          <w:rFonts w:ascii="Times New Roman" w:eastAsia="Calibri" w:hAnsi="Times New Roman" w:cs="Times New Roman"/>
          <w:color w:val="000000" w:themeColor="text1"/>
          <w:sz w:val="24"/>
          <w:szCs w:val="24"/>
        </w:rPr>
        <w:t>оссийской Федерации</w:t>
      </w:r>
      <w:r w:rsidRPr="00590A90">
        <w:rPr>
          <w:rFonts w:ascii="Times New Roman" w:eastAsia="Calibri" w:hAnsi="Times New Roman" w:cs="Times New Roman"/>
          <w:color w:val="000000" w:themeColor="text1"/>
          <w:sz w:val="24"/>
          <w:szCs w:val="24"/>
        </w:rPr>
        <w:t xml:space="preserve"> определен перечень нормативных правовых актов и групп нормативных правовых актов, а также их отдельных положений, на которые не распространяется механизм «регуляторной гильотины».</w:t>
      </w:r>
      <w:r w:rsidR="00247EFF">
        <w:rPr>
          <w:rFonts w:ascii="Times New Roman" w:eastAsia="Calibri" w:hAnsi="Times New Roman" w:cs="Times New Roman"/>
          <w:color w:val="000000" w:themeColor="text1"/>
          <w:sz w:val="24"/>
          <w:szCs w:val="24"/>
        </w:rPr>
        <w:t xml:space="preserve"> </w:t>
      </w:r>
      <w:r w:rsidRPr="00590A90">
        <w:rPr>
          <w:rFonts w:ascii="Times New Roman" w:eastAsia="Calibri" w:hAnsi="Times New Roman" w:cs="Times New Roman"/>
          <w:sz w:val="24"/>
          <w:szCs w:val="24"/>
        </w:rPr>
        <w:t xml:space="preserve">В отношении отдельных </w:t>
      </w:r>
      <w:hyperlink r:id="rId9" w:history="1">
        <w:r w:rsidRPr="00590A90">
          <w:rPr>
            <w:rStyle w:val="a4"/>
            <w:rFonts w:ascii="Times New Roman" w:eastAsia="Calibri" w:hAnsi="Times New Roman" w:cs="Times New Roman"/>
            <w:color w:val="auto"/>
            <w:sz w:val="24"/>
            <w:szCs w:val="24"/>
            <w:u w:val="none"/>
          </w:rPr>
          <w:t>позиций</w:t>
        </w:r>
      </w:hyperlink>
      <w:r w:rsidRPr="00590A90">
        <w:rPr>
          <w:rFonts w:ascii="Times New Roman" w:eastAsia="Calibri" w:hAnsi="Times New Roman" w:cs="Times New Roman"/>
          <w:sz w:val="24"/>
          <w:szCs w:val="24"/>
        </w:rPr>
        <w:t xml:space="preserve"> перечня установлен срок прекращения </w:t>
      </w:r>
      <w:r w:rsidRPr="00590A90">
        <w:rPr>
          <w:rFonts w:ascii="Times New Roman" w:eastAsia="Calibri" w:hAnsi="Times New Roman" w:cs="Times New Roman"/>
          <w:color w:val="000000" w:themeColor="text1"/>
          <w:sz w:val="24"/>
          <w:szCs w:val="24"/>
        </w:rPr>
        <w:t>действия.</w:t>
      </w:r>
    </w:p>
    <w:p w:rsidR="0096770D" w:rsidRPr="0096770D" w:rsidRDefault="0096770D" w:rsidP="0096770D">
      <w:pPr>
        <w:ind w:right="-1"/>
        <w:jc w:val="both"/>
        <w:rPr>
          <w:rFonts w:ascii="Times New Roman" w:eastAsia="Calibri" w:hAnsi="Times New Roman" w:cs="Times New Roman"/>
          <w:color w:val="000000" w:themeColor="text1"/>
          <w:sz w:val="24"/>
          <w:szCs w:val="24"/>
        </w:rPr>
      </w:pPr>
    </w:p>
    <w:sectPr w:rsidR="0096770D" w:rsidRPr="0096770D" w:rsidSect="00610BA2">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C7" w:rsidRDefault="00012FC7" w:rsidP="00610BA2">
      <w:pPr>
        <w:spacing w:after="0" w:line="240" w:lineRule="auto"/>
      </w:pPr>
      <w:r>
        <w:separator/>
      </w:r>
    </w:p>
  </w:endnote>
  <w:endnote w:type="continuationSeparator" w:id="0">
    <w:p w:rsidR="00012FC7" w:rsidRDefault="00012FC7" w:rsidP="0061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C7" w:rsidRDefault="00012FC7" w:rsidP="00610BA2">
      <w:pPr>
        <w:spacing w:after="0" w:line="240" w:lineRule="auto"/>
      </w:pPr>
      <w:r>
        <w:separator/>
      </w:r>
    </w:p>
  </w:footnote>
  <w:footnote w:type="continuationSeparator" w:id="0">
    <w:p w:rsidR="00012FC7" w:rsidRDefault="00012FC7" w:rsidP="0061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6686"/>
      <w:docPartObj>
        <w:docPartGallery w:val="Page Numbers (Top of Page)"/>
        <w:docPartUnique/>
      </w:docPartObj>
    </w:sdtPr>
    <w:sdtEndPr>
      <w:rPr>
        <w:rFonts w:ascii="Times New Roman" w:hAnsi="Times New Roman" w:cs="Times New Roman"/>
        <w:sz w:val="24"/>
        <w:szCs w:val="24"/>
      </w:rPr>
    </w:sdtEndPr>
    <w:sdtContent>
      <w:p w:rsidR="00610BA2" w:rsidRPr="00610BA2" w:rsidRDefault="00610BA2">
        <w:pPr>
          <w:pStyle w:val="a5"/>
          <w:jc w:val="center"/>
          <w:rPr>
            <w:rFonts w:ascii="Times New Roman" w:hAnsi="Times New Roman" w:cs="Times New Roman"/>
            <w:sz w:val="24"/>
            <w:szCs w:val="24"/>
          </w:rPr>
        </w:pPr>
        <w:r w:rsidRPr="00610BA2">
          <w:rPr>
            <w:rFonts w:ascii="Times New Roman" w:hAnsi="Times New Roman" w:cs="Times New Roman"/>
            <w:sz w:val="24"/>
            <w:szCs w:val="24"/>
          </w:rPr>
          <w:fldChar w:fldCharType="begin"/>
        </w:r>
        <w:r w:rsidRPr="00610BA2">
          <w:rPr>
            <w:rFonts w:ascii="Times New Roman" w:hAnsi="Times New Roman" w:cs="Times New Roman"/>
            <w:sz w:val="24"/>
            <w:szCs w:val="24"/>
          </w:rPr>
          <w:instrText>PAGE   \* MERGEFORMAT</w:instrText>
        </w:r>
        <w:r w:rsidRPr="00610BA2">
          <w:rPr>
            <w:rFonts w:ascii="Times New Roman" w:hAnsi="Times New Roman" w:cs="Times New Roman"/>
            <w:sz w:val="24"/>
            <w:szCs w:val="24"/>
          </w:rPr>
          <w:fldChar w:fldCharType="separate"/>
        </w:r>
        <w:r w:rsidR="008A0076">
          <w:rPr>
            <w:rFonts w:ascii="Times New Roman" w:hAnsi="Times New Roman" w:cs="Times New Roman"/>
            <w:noProof/>
            <w:sz w:val="24"/>
            <w:szCs w:val="24"/>
          </w:rPr>
          <w:t>2</w:t>
        </w:r>
        <w:r w:rsidRPr="00610BA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A5A"/>
    <w:multiLevelType w:val="hybridMultilevel"/>
    <w:tmpl w:val="BC0C916C"/>
    <w:lvl w:ilvl="0" w:tplc="6F1031C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70B89"/>
    <w:multiLevelType w:val="hybridMultilevel"/>
    <w:tmpl w:val="9FBA0E88"/>
    <w:lvl w:ilvl="0" w:tplc="E80E1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4A5801"/>
    <w:multiLevelType w:val="hybridMultilevel"/>
    <w:tmpl w:val="D87EFEFC"/>
    <w:lvl w:ilvl="0" w:tplc="9110A5C0">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303ECC"/>
    <w:multiLevelType w:val="hybridMultilevel"/>
    <w:tmpl w:val="ABCE7036"/>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216E9F"/>
    <w:multiLevelType w:val="hybridMultilevel"/>
    <w:tmpl w:val="45D6884E"/>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556818"/>
    <w:multiLevelType w:val="hybridMultilevel"/>
    <w:tmpl w:val="3F5E7BDE"/>
    <w:lvl w:ilvl="0" w:tplc="E80E1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7A3427"/>
    <w:multiLevelType w:val="hybridMultilevel"/>
    <w:tmpl w:val="D58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2E221B"/>
    <w:multiLevelType w:val="hybridMultilevel"/>
    <w:tmpl w:val="A17808DE"/>
    <w:lvl w:ilvl="0" w:tplc="CACC7E82">
      <w:start w:val="1"/>
      <w:numFmt w:val="decimal"/>
      <w:suff w:val="space"/>
      <w:lvlText w:val="%1)"/>
      <w:lvlJc w:val="left"/>
      <w:pPr>
        <w:ind w:left="14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B363C2F"/>
    <w:multiLevelType w:val="hybridMultilevel"/>
    <w:tmpl w:val="41189950"/>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1037E8"/>
    <w:multiLevelType w:val="hybridMultilevel"/>
    <w:tmpl w:val="00D2C3C0"/>
    <w:lvl w:ilvl="0" w:tplc="0582A30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E76EE1"/>
    <w:multiLevelType w:val="hybridMultilevel"/>
    <w:tmpl w:val="1E3069B4"/>
    <w:lvl w:ilvl="0" w:tplc="BD8C584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0743EA"/>
    <w:multiLevelType w:val="hybridMultilevel"/>
    <w:tmpl w:val="7B3ABD2E"/>
    <w:lvl w:ilvl="0" w:tplc="BD8C5844">
      <w:start w:val="1"/>
      <w:numFmt w:val="bullet"/>
      <w:suff w:val="space"/>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FB4A29"/>
    <w:multiLevelType w:val="hybridMultilevel"/>
    <w:tmpl w:val="7CE4B86E"/>
    <w:lvl w:ilvl="0" w:tplc="DAFEBC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CD15F0"/>
    <w:multiLevelType w:val="hybridMultilevel"/>
    <w:tmpl w:val="9FCE1C6E"/>
    <w:lvl w:ilvl="0" w:tplc="9402791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DA0118"/>
    <w:multiLevelType w:val="hybridMultilevel"/>
    <w:tmpl w:val="993ABE36"/>
    <w:lvl w:ilvl="0" w:tplc="99340D46">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54EE6321"/>
    <w:multiLevelType w:val="hybridMultilevel"/>
    <w:tmpl w:val="5516C710"/>
    <w:lvl w:ilvl="0" w:tplc="68781B3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B536C1"/>
    <w:multiLevelType w:val="hybridMultilevel"/>
    <w:tmpl w:val="8C9CB112"/>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5630CD"/>
    <w:multiLevelType w:val="hybridMultilevel"/>
    <w:tmpl w:val="BADC28B2"/>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175BC2"/>
    <w:multiLevelType w:val="hybridMultilevel"/>
    <w:tmpl w:val="B1325D64"/>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B76DB6"/>
    <w:multiLevelType w:val="hybridMultilevel"/>
    <w:tmpl w:val="484CF158"/>
    <w:lvl w:ilvl="0" w:tplc="87FC2FCA">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2C46FA"/>
    <w:multiLevelType w:val="hybridMultilevel"/>
    <w:tmpl w:val="56A448C0"/>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A247FA"/>
    <w:multiLevelType w:val="hybridMultilevel"/>
    <w:tmpl w:val="2182FFDA"/>
    <w:lvl w:ilvl="0" w:tplc="D48C8DD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FB7516"/>
    <w:multiLevelType w:val="hybridMultilevel"/>
    <w:tmpl w:val="1A9C2F42"/>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2C2647"/>
    <w:multiLevelType w:val="hybridMultilevel"/>
    <w:tmpl w:val="535C4F5E"/>
    <w:lvl w:ilvl="0" w:tplc="CD48E6A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7FD7DA6"/>
    <w:multiLevelType w:val="hybridMultilevel"/>
    <w:tmpl w:val="24F643D8"/>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94CF9"/>
    <w:multiLevelType w:val="hybridMultilevel"/>
    <w:tmpl w:val="76668EC8"/>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DB79B7"/>
    <w:multiLevelType w:val="hybridMultilevel"/>
    <w:tmpl w:val="67B2A152"/>
    <w:lvl w:ilvl="0" w:tplc="A6CC820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7"/>
  </w:num>
  <w:num w:numId="6">
    <w:abstractNumId w:val="8"/>
  </w:num>
  <w:num w:numId="7">
    <w:abstractNumId w:val="20"/>
  </w:num>
  <w:num w:numId="8">
    <w:abstractNumId w:val="18"/>
  </w:num>
  <w:num w:numId="9">
    <w:abstractNumId w:val="25"/>
  </w:num>
  <w:num w:numId="10">
    <w:abstractNumId w:val="17"/>
  </w:num>
  <w:num w:numId="11">
    <w:abstractNumId w:val="6"/>
  </w:num>
  <w:num w:numId="12">
    <w:abstractNumId w:val="22"/>
  </w:num>
  <w:num w:numId="13">
    <w:abstractNumId w:val="23"/>
  </w:num>
  <w:num w:numId="14">
    <w:abstractNumId w:val="26"/>
  </w:num>
  <w:num w:numId="15">
    <w:abstractNumId w:val="13"/>
  </w:num>
  <w:num w:numId="16">
    <w:abstractNumId w:val="15"/>
  </w:num>
  <w:num w:numId="17">
    <w:abstractNumId w:val="12"/>
  </w:num>
  <w:num w:numId="18">
    <w:abstractNumId w:val="3"/>
  </w:num>
  <w:num w:numId="19">
    <w:abstractNumId w:val="16"/>
  </w:num>
  <w:num w:numId="20">
    <w:abstractNumId w:val="9"/>
  </w:num>
  <w:num w:numId="21">
    <w:abstractNumId w:val="21"/>
  </w:num>
  <w:num w:numId="22">
    <w:abstractNumId w:val="4"/>
  </w:num>
  <w:num w:numId="23">
    <w:abstractNumId w:val="2"/>
  </w:num>
  <w:num w:numId="24">
    <w:abstractNumId w:val="24"/>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D4"/>
    <w:rsid w:val="00012FC7"/>
    <w:rsid w:val="000346A2"/>
    <w:rsid w:val="00054111"/>
    <w:rsid w:val="000712CC"/>
    <w:rsid w:val="00093E7B"/>
    <w:rsid w:val="000D1862"/>
    <w:rsid w:val="00247EFF"/>
    <w:rsid w:val="002E70C9"/>
    <w:rsid w:val="00435350"/>
    <w:rsid w:val="004C3B3A"/>
    <w:rsid w:val="00590A90"/>
    <w:rsid w:val="005E1A69"/>
    <w:rsid w:val="00610BA2"/>
    <w:rsid w:val="007F408A"/>
    <w:rsid w:val="00886478"/>
    <w:rsid w:val="00886E45"/>
    <w:rsid w:val="00897E13"/>
    <w:rsid w:val="008A0076"/>
    <w:rsid w:val="008D22D4"/>
    <w:rsid w:val="0096770D"/>
    <w:rsid w:val="00973E8A"/>
    <w:rsid w:val="009B2757"/>
    <w:rsid w:val="009D15A7"/>
    <w:rsid w:val="009D7376"/>
    <w:rsid w:val="00A83372"/>
    <w:rsid w:val="00C0423C"/>
    <w:rsid w:val="00C54C68"/>
    <w:rsid w:val="00E31C43"/>
    <w:rsid w:val="00E879C9"/>
    <w:rsid w:val="00F6012E"/>
    <w:rsid w:val="00FC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95CBD-D3D6-45E9-837D-D5A9F3E2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C43"/>
    <w:pPr>
      <w:ind w:left="720"/>
      <w:contextualSpacing/>
    </w:pPr>
  </w:style>
  <w:style w:type="character" w:styleId="a4">
    <w:name w:val="Hyperlink"/>
    <w:basedOn w:val="a0"/>
    <w:uiPriority w:val="99"/>
    <w:unhideWhenUsed/>
    <w:rsid w:val="00E31C43"/>
    <w:rPr>
      <w:color w:val="0000FF" w:themeColor="hyperlink"/>
      <w:u w:val="single"/>
    </w:rPr>
  </w:style>
  <w:style w:type="paragraph" w:styleId="a5">
    <w:name w:val="header"/>
    <w:basedOn w:val="a"/>
    <w:link w:val="a6"/>
    <w:uiPriority w:val="99"/>
    <w:unhideWhenUsed/>
    <w:rsid w:val="00610B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0BA2"/>
  </w:style>
  <w:style w:type="paragraph" w:styleId="a7">
    <w:name w:val="footer"/>
    <w:basedOn w:val="a"/>
    <w:link w:val="a8"/>
    <w:uiPriority w:val="99"/>
    <w:unhideWhenUsed/>
    <w:rsid w:val="00610B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49C19891547A4F8AD16BC9B7F3B3C0FE3C58662636A73446DCA1D308C29EECE290EF10D8AD59E144BD6E85C86EC9DE75039716CB872D1C8r3J" TargetMode="External"/><Relationship Id="rId3" Type="http://schemas.openxmlformats.org/officeDocument/2006/relationships/settings" Target="settings.xml"/><Relationship Id="rId7" Type="http://schemas.openxmlformats.org/officeDocument/2006/relationships/hyperlink" Target="consultantplus://offline/ref=89849C19891547A4F8AD16BC9B7F3B3C0FE3C58662636A73446DCA1D308C29EECE290EF10D8AD59E154BD6E85C86EC9DE75039716CB872D1C8r3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4E08DAB6FCAF706F171A681C6296F4384CA9048A3B9CAB86FD146EA88114F4F3A6DE78413FEC35B4DE97A8847F63B1A8E9AF851F4B8C22ES6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60D7EDC0</Template>
  <TotalTime>1</TotalTime>
  <Pages>12</Pages>
  <Words>3608</Words>
  <Characters>20571</Characters>
  <Application>Microsoft Office Word</Application>
  <DocSecurity>4</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Мария Николаевна</dc:creator>
  <cp:keywords/>
  <dc:description/>
  <cp:lastModifiedBy>Тимакова Татьяна Витальевна</cp:lastModifiedBy>
  <cp:revision>2</cp:revision>
  <dcterms:created xsi:type="dcterms:W3CDTF">2021-01-18T07:59:00Z</dcterms:created>
  <dcterms:modified xsi:type="dcterms:W3CDTF">2021-01-18T07:59:00Z</dcterms:modified>
</cp:coreProperties>
</file>