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</w:t>
      </w:r>
      <w:r w:rsidRPr="006861D7">
        <w:rPr>
          <w:sz w:val="28"/>
          <w:szCs w:val="28"/>
        </w:rPr>
        <w:t>и</w:t>
      </w:r>
      <w:r w:rsidRPr="006861D7">
        <w:rPr>
          <w:sz w:val="28"/>
          <w:szCs w:val="28"/>
        </w:rPr>
        <w:t>пального образов</w:t>
      </w:r>
      <w:r w:rsidRPr="006861D7">
        <w:rPr>
          <w:sz w:val="28"/>
          <w:szCs w:val="28"/>
        </w:rPr>
        <w:t>а</w:t>
      </w:r>
      <w:r w:rsidRPr="006861D7">
        <w:rPr>
          <w:sz w:val="28"/>
          <w:szCs w:val="28"/>
        </w:rPr>
        <w:t>ния «М</w:t>
      </w:r>
      <w:r w:rsidRPr="006861D7">
        <w:rPr>
          <w:sz w:val="28"/>
          <w:szCs w:val="28"/>
        </w:rPr>
        <w:t>а</w:t>
      </w:r>
      <w:r w:rsidRPr="006861D7">
        <w:rPr>
          <w:sz w:val="28"/>
          <w:szCs w:val="28"/>
        </w:rPr>
        <w:t>лопу</w:t>
      </w:r>
      <w:r w:rsidRPr="006861D7">
        <w:rPr>
          <w:sz w:val="28"/>
          <w:szCs w:val="28"/>
        </w:rPr>
        <w:t>р</w:t>
      </w:r>
      <w:r w:rsidRPr="006861D7">
        <w:rPr>
          <w:sz w:val="28"/>
          <w:szCs w:val="28"/>
        </w:rPr>
        <w:t>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20B64">
        <w:rPr>
          <w:sz w:val="28"/>
          <w:szCs w:val="28"/>
        </w:rPr>
        <w:t>июл</w:t>
      </w:r>
      <w:r w:rsidR="005973F1">
        <w:rPr>
          <w:sz w:val="28"/>
          <w:szCs w:val="28"/>
        </w:rPr>
        <w:t>ь</w:t>
      </w:r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7619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</w:t>
            </w:r>
            <w:r w:rsidRPr="00B51EDF">
              <w:rPr>
                <w:b/>
              </w:rPr>
              <w:t>с</w:t>
            </w:r>
            <w:r w:rsidRPr="00B51EDF">
              <w:rPr>
                <w:b/>
              </w:rPr>
              <w:t>полнители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9D5299" w:rsidRDefault="00943807" w:rsidP="007D043B">
            <w:pPr>
              <w:ind w:right="-74"/>
              <w:jc w:val="both"/>
            </w:pPr>
            <w:r w:rsidRPr="009D5299">
              <w:rPr>
                <w:sz w:val="22"/>
                <w:szCs w:val="22"/>
              </w:rPr>
              <w:t>Реализация пол-номочий, возло-</w:t>
            </w:r>
          </w:p>
          <w:p w:rsidR="00943807" w:rsidRPr="009D5299" w:rsidRDefault="00943807" w:rsidP="007D043B">
            <w:pPr>
              <w:ind w:right="-74"/>
              <w:jc w:val="both"/>
            </w:pPr>
            <w:r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943807" w:rsidP="007D043B">
            <w:pPr>
              <w:ind w:right="-74"/>
              <w:jc w:val="both"/>
              <w:rPr>
                <w:color w:val="FF0000"/>
              </w:rPr>
            </w:pPr>
            <w:r w:rsidRPr="009D5299">
              <w:rPr>
                <w:sz w:val="22"/>
                <w:szCs w:val="22"/>
              </w:rPr>
              <w:t>МО «Малопургин- ский район»</w:t>
            </w: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</w:t>
            </w:r>
            <w:r w:rsidRPr="009D5299">
              <w:rPr>
                <w:sz w:val="22"/>
                <w:szCs w:val="22"/>
                <w:lang w:eastAsia="en-US"/>
              </w:rPr>
              <w:t>и</w:t>
            </w:r>
            <w:r w:rsidRPr="009D5299">
              <w:rPr>
                <w:sz w:val="22"/>
                <w:szCs w:val="22"/>
                <w:lang w:eastAsia="en-US"/>
              </w:rPr>
              <w:t>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</w:t>
            </w:r>
            <w:r w:rsidRPr="009D5299">
              <w:rPr>
                <w:sz w:val="22"/>
                <w:szCs w:val="22"/>
                <w:lang w:eastAsia="en-US"/>
              </w:rPr>
              <w:t>а</w:t>
            </w:r>
            <w:r w:rsidRPr="009D5299">
              <w:rPr>
                <w:sz w:val="22"/>
                <w:szCs w:val="22"/>
                <w:lang w:eastAsia="en-US"/>
              </w:rPr>
              <w:t>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4E3A7F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7D043B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</w:pPr>
          </w:p>
        </w:tc>
        <w:tc>
          <w:tcPr>
            <w:tcW w:w="2126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7619" w:type="dxa"/>
          </w:tcPr>
          <w:p w:rsidR="009D5299" w:rsidRPr="009D5299" w:rsidRDefault="009D5299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7D043B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</w:pPr>
            <w:r w:rsidRPr="009D5299">
              <w:rPr>
                <w:sz w:val="22"/>
                <w:szCs w:val="22"/>
              </w:rPr>
              <w:t>Реализация Страт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</w:pPr>
          </w:p>
        </w:tc>
        <w:tc>
          <w:tcPr>
            <w:tcW w:w="7619" w:type="dxa"/>
          </w:tcPr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7619" w:type="dxa"/>
          </w:tcPr>
          <w:p w:rsidR="00943807" w:rsidRPr="009D5299" w:rsidRDefault="004E3A7F" w:rsidP="00C4138E">
            <w:pPr>
              <w:ind w:right="-74"/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содержания автом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бильных дорог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Прием, проверка, согласование актов выполне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поступл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</w:pPr>
          </w:p>
          <w:p w:rsidR="009D5299" w:rsidRPr="009D5299" w:rsidRDefault="009D5299" w:rsidP="007D043B">
            <w:pPr>
              <w:ind w:right="394"/>
            </w:pPr>
          </w:p>
          <w:p w:rsidR="009D5299" w:rsidRPr="009D5299" w:rsidRDefault="009D5299" w:rsidP="007D043B">
            <w:pPr>
              <w:ind w:right="394"/>
            </w:pPr>
          </w:p>
          <w:p w:rsidR="009D5299" w:rsidRPr="009D5299" w:rsidRDefault="009D5299" w:rsidP="007D043B">
            <w:pPr>
              <w:ind w:right="394"/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D5299" w:rsidRPr="009D5299" w:rsidTr="007D043B">
        <w:trPr>
          <w:trHeight w:val="1168"/>
        </w:trPr>
        <w:tc>
          <w:tcPr>
            <w:tcW w:w="4750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полномочий, возло-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женных на отдел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D5299" w:rsidRPr="009D5299" w:rsidTr="007D043B">
        <w:trPr>
          <w:trHeight w:val="126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Предоставление социальных в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плат: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 гражданам, признанным в уст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новленном порядке вынужденн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ми переселенцами;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-гражданам, в т.ч. молодым сем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ям и молодым специалистам, на строительство (приобретение)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-молодым семьям на строительс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во (приобретение) жилых помещ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ний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-Консультирование граждан по вопросам пост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новки на учет в качестве нуждающихся в улучш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нии жилищных условий, получения льготного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лищного займа и субсидии на строительство (пр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обретение) жилого помещения.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-Прием,  проверка и заверение  документов гра</w:t>
            </w:r>
            <w:r w:rsidRPr="009D5299">
              <w:rPr>
                <w:sz w:val="22"/>
                <w:szCs w:val="22"/>
              </w:rPr>
              <w:t>ж</w:t>
            </w:r>
            <w:r w:rsidRPr="009D5299">
              <w:rPr>
                <w:sz w:val="22"/>
                <w:szCs w:val="22"/>
              </w:rPr>
              <w:t>дан, направление запросов в отдел УФСГР с ц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лью постановки  на учет в качестве нуждающихся в улучшении жилищных условий.</w:t>
            </w:r>
          </w:p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-Выезды на осмотр</w:t>
            </w:r>
            <w:r w:rsidR="009D5299"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="009D5299"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9D5299" w:rsidRPr="009D5299" w:rsidTr="007D043B">
        <w:trPr>
          <w:trHeight w:val="67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оритетному проекту «Формиров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ние комфортной городской среды»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2409" w:type="dxa"/>
          </w:tcPr>
          <w:p w:rsidR="009D5299" w:rsidRPr="009D5299" w:rsidRDefault="00DF1CA1" w:rsidP="009D5299">
            <w:pPr>
              <w:ind w:right="394"/>
            </w:pPr>
            <w:r>
              <w:rPr>
                <w:sz w:val="22"/>
                <w:szCs w:val="22"/>
              </w:rPr>
              <w:t>Вторник в 11.00 (по необходи</w:t>
            </w:r>
            <w:r w:rsidR="009D5299" w:rsidRPr="009D5299">
              <w:rPr>
                <w:sz w:val="22"/>
                <w:szCs w:val="22"/>
              </w:rPr>
              <w:t>м</w:t>
            </w:r>
            <w:r w:rsidR="009D5299" w:rsidRPr="009D5299">
              <w:rPr>
                <w:sz w:val="22"/>
                <w:szCs w:val="22"/>
              </w:rPr>
              <w:t>о</w:t>
            </w:r>
            <w:r w:rsidR="009D5299" w:rsidRPr="009D5299">
              <w:rPr>
                <w:sz w:val="22"/>
                <w:szCs w:val="22"/>
              </w:rPr>
              <w:t>сти)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D5299" w:rsidRPr="009D5299" w:rsidTr="007D043B">
        <w:trPr>
          <w:trHeight w:val="84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ведению капитального ремонта многоквартирных домов в соо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ветствии «Региональной програ</w:t>
            </w:r>
            <w:r w:rsidRPr="009D5299">
              <w:rPr>
                <w:sz w:val="22"/>
                <w:szCs w:val="22"/>
              </w:rPr>
              <w:t>м</w:t>
            </w:r>
            <w:r w:rsidRPr="009D5299">
              <w:rPr>
                <w:sz w:val="22"/>
                <w:szCs w:val="22"/>
              </w:rPr>
              <w:t>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-Работа с гражданами по корректировке данных, с последующей передачей Региональному операт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ру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ного ремонта общего имущества в многокварти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ных домах в Удмуртской Республике»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7D043B">
        <w:trPr>
          <w:trHeight w:val="100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D5299" w:rsidRPr="009D5299" w:rsidRDefault="00135A15" w:rsidP="009D5299">
            <w:pPr>
              <w:ind w:right="394"/>
            </w:pPr>
            <w:r>
              <w:rPr>
                <w:sz w:val="22"/>
                <w:szCs w:val="22"/>
              </w:rPr>
              <w:t>Контроль за подготовкой</w:t>
            </w:r>
            <w:r w:rsidR="009D5299" w:rsidRPr="009D5299">
              <w:rPr>
                <w:sz w:val="22"/>
                <w:szCs w:val="22"/>
              </w:rPr>
              <w:t xml:space="preserve"> отоп</w:t>
            </w:r>
            <w:r w:rsidR="009D5299" w:rsidRPr="009D5299">
              <w:rPr>
                <w:sz w:val="22"/>
                <w:szCs w:val="22"/>
              </w:rPr>
              <w:t>и</w:t>
            </w:r>
            <w:r w:rsidR="009D5299" w:rsidRPr="009D5299">
              <w:rPr>
                <w:sz w:val="22"/>
                <w:szCs w:val="22"/>
              </w:rPr>
              <w:t xml:space="preserve">тельного периода </w:t>
            </w:r>
            <w:r>
              <w:rPr>
                <w:sz w:val="22"/>
                <w:szCs w:val="22"/>
              </w:rPr>
              <w:t>2021-2022</w:t>
            </w:r>
            <w:r w:rsidR="007D043B">
              <w:rPr>
                <w:sz w:val="22"/>
                <w:szCs w:val="22"/>
              </w:rPr>
              <w:t xml:space="preserve"> </w:t>
            </w:r>
            <w:r w:rsidR="009D5299" w:rsidRPr="009D5299">
              <w:rPr>
                <w:sz w:val="22"/>
                <w:szCs w:val="22"/>
              </w:rPr>
              <w:t>г.г.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еженедельных совещаний по вопр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сам ЖКХ</w:t>
            </w:r>
          </w:p>
          <w:p w:rsidR="009D5299" w:rsidRPr="009D5299" w:rsidRDefault="00135A15" w:rsidP="009D5299">
            <w:pPr>
              <w:ind w:right="394"/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Выдача разрешений</w:t>
            </w:r>
            <w:r w:rsidR="009D5299"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</w:t>
            </w:r>
            <w:r w:rsidR="009D5299" w:rsidRPr="009D5299">
              <w:rPr>
                <w:sz w:val="22"/>
                <w:szCs w:val="22"/>
              </w:rPr>
              <w:t>а</w:t>
            </w:r>
            <w:r w:rsidR="009D5299" w:rsidRPr="009D5299">
              <w:rPr>
                <w:sz w:val="22"/>
                <w:szCs w:val="22"/>
              </w:rPr>
              <w:t>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ного самоуправления отдельными государстве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ными полномочиями по отлову и содержание бе</w:t>
            </w:r>
            <w:r w:rsidRPr="009D5299">
              <w:rPr>
                <w:sz w:val="22"/>
                <w:szCs w:val="22"/>
              </w:rPr>
              <w:t>з</w:t>
            </w:r>
            <w:r w:rsidRPr="009D5299">
              <w:rPr>
                <w:sz w:val="22"/>
                <w:szCs w:val="22"/>
              </w:rPr>
              <w:t>надзорных животных»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</w:t>
            </w:r>
            <w:r w:rsidRPr="009D5299">
              <w:rPr>
                <w:sz w:val="22"/>
                <w:szCs w:val="22"/>
              </w:rPr>
              <w:lastRenderedPageBreak/>
              <w:t>твёрдых коммунальных отходов и ведения их ре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стра»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7D043B" w:rsidRDefault="007D043B" w:rsidP="009D5299">
            <w:pPr>
              <w:ind w:right="394"/>
              <w:jc w:val="center"/>
              <w:rPr>
                <w:b/>
              </w:rPr>
            </w:pPr>
          </w:p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D5299" w:rsidRPr="009D5299" w:rsidTr="00DF1CA1">
        <w:trPr>
          <w:trHeight w:val="1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482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118" w:type="dxa"/>
            <w:gridSpan w:val="4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</w:tr>
      <w:tr w:rsidR="009D5299" w:rsidRPr="009D5299" w:rsidTr="009D5299">
        <w:trPr>
          <w:trHeight w:val="10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 направление отче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ности (в соответствии с утве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жденным Планом отчетности  по Управлению муниципального х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зяйства на 2020 г.) 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Планы работы управления на неделю, на 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сяц. Отчет о работе за месяц.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Исполнение программы по энерг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снабжению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  <w:gridSpan w:val="3"/>
          </w:tcPr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В течение</w:t>
            </w:r>
            <w:bookmarkStart w:id="0" w:name="_GoBack"/>
            <w:bookmarkEnd w:id="0"/>
            <w:r w:rsidR="009D5299"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документов на пров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дение процедуры торгов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Рассмотрение и подготовка отв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тов на обращение граждан, ст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ронних организаций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8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A8" w:rsidRDefault="00277AA8" w:rsidP="00BC035B">
      <w:r>
        <w:separator/>
      </w:r>
    </w:p>
  </w:endnote>
  <w:endnote w:type="continuationSeparator" w:id="1">
    <w:p w:rsidR="00277AA8" w:rsidRDefault="00277AA8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A" w:rsidRDefault="00547CC9">
    <w:pPr>
      <w:pStyle w:val="a7"/>
      <w:jc w:val="right"/>
    </w:pPr>
    <w:r>
      <w:fldChar w:fldCharType="begin"/>
    </w:r>
    <w:r w:rsidR="00C9254D">
      <w:instrText>PAGE   \* MERGEFORMAT</w:instrText>
    </w:r>
    <w:r>
      <w:fldChar w:fldCharType="separate"/>
    </w:r>
    <w:r w:rsidR="006A457A">
      <w:rPr>
        <w:noProof/>
      </w:rPr>
      <w:t>2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A8" w:rsidRDefault="00277AA8" w:rsidP="00BC035B">
      <w:r>
        <w:separator/>
      </w:r>
    </w:p>
  </w:footnote>
  <w:footnote w:type="continuationSeparator" w:id="1">
    <w:p w:rsidR="00277AA8" w:rsidRDefault="00277AA8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77AA8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47CC9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A457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3A9E-9827-41D0-92D7-BC448C22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2021-06-15T06:19:00Z</cp:lastPrinted>
  <dcterms:created xsi:type="dcterms:W3CDTF">2021-06-15T10:48:00Z</dcterms:created>
  <dcterms:modified xsi:type="dcterms:W3CDTF">2021-06-15T10:48:00Z</dcterms:modified>
</cp:coreProperties>
</file>