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B93738" w:rsidRPr="00B93738">
        <w:rPr>
          <w:rFonts w:ascii="Times New Roman" w:hAnsi="Times New Roman" w:cs="Times New Roman"/>
          <w:sz w:val="24"/>
          <w:szCs w:val="24"/>
        </w:rPr>
        <w:t>2</w:t>
      </w:r>
      <w:r w:rsidR="00645586">
        <w:rPr>
          <w:rFonts w:ascii="Times New Roman" w:hAnsi="Times New Roman" w:cs="Times New Roman"/>
          <w:sz w:val="24"/>
          <w:szCs w:val="24"/>
        </w:rPr>
        <w:t>4</w:t>
      </w:r>
      <w:r w:rsidRPr="00B93738">
        <w:rPr>
          <w:rFonts w:ascii="Times New Roman" w:hAnsi="Times New Roman" w:cs="Times New Roman"/>
          <w:sz w:val="24"/>
          <w:szCs w:val="24"/>
        </w:rPr>
        <w:t xml:space="preserve"> </w:t>
      </w:r>
      <w:r w:rsidR="00645586">
        <w:rPr>
          <w:rFonts w:ascii="Times New Roman" w:hAnsi="Times New Roman" w:cs="Times New Roman"/>
          <w:sz w:val="24"/>
          <w:szCs w:val="24"/>
        </w:rPr>
        <w:t>ноября</w:t>
      </w:r>
      <w:r w:rsidRPr="00B93738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B93738">
        <w:rPr>
          <w:rFonts w:ascii="Times New Roman" w:hAnsi="Times New Roman" w:cs="Times New Roman"/>
          <w:sz w:val="24"/>
          <w:szCs w:val="24"/>
        </w:rPr>
        <w:t>20</w:t>
      </w:r>
      <w:r w:rsidRPr="00B937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5586">
        <w:rPr>
          <w:rFonts w:ascii="Times New Roman" w:hAnsi="Times New Roman" w:cs="Times New Roman"/>
          <w:sz w:val="24"/>
          <w:szCs w:val="24"/>
        </w:rPr>
        <w:t>1035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F4618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ГАЗ-3102</w:t>
      </w:r>
      <w:r w:rsidR="00502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F4618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3F0DEF" w:rsidTr="00D306B4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3F0DEF" w:rsidRDefault="003F0DEF" w:rsidP="003F0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_DdeLink__1374_345556184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9631020061323819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3F0DEF" w:rsidRDefault="003F0DEF" w:rsidP="001E5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*40620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*63015988*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3F0DEF" w:rsidRDefault="003F0DEF" w:rsidP="001E5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31020060152199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2285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3F0D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96,0 кВт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4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809</w:t>
            </w:r>
            <w:r w:rsidR="00B4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r w:rsidR="00B4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айсберг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  <w:tr w:rsidR="00D306B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 w:rsidP="001E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 w:rsidP="001E5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Tr="00401EBE">
        <w:trPr>
          <w:trHeight w:val="60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r w:rsidRPr="00172D1A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шасси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proofErr w:type="gramStart"/>
            <w:r w:rsidRPr="009E50DB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 w:rsidRPr="009E50DB"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Tr="00401EBE">
        <w:trPr>
          <w:trHeight w:val="650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r w:rsidRPr="00172D1A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кузова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proofErr w:type="gramStart"/>
            <w:r w:rsidRPr="009E50DB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 w:rsidRPr="009E50DB"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r w:rsidRPr="00172D1A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трансмиссии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proofErr w:type="gramStart"/>
            <w:r w:rsidRPr="009E50DB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 w:rsidRPr="009E50DB"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r w:rsidRPr="00172D1A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proofErr w:type="gramStart"/>
            <w:r w:rsidRPr="009E50DB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 w:rsidRPr="009E50DB"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1C270D" w:rsidRDefault="003F0DEF" w:rsidP="001E5171">
            <w:pPr>
              <w:spacing w:after="0" w:line="240" w:lineRule="auto"/>
            </w:pPr>
            <w:r w:rsidRPr="001C270D"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1C270D" w:rsidRDefault="001C270D" w:rsidP="001E5171">
            <w:pPr>
              <w:spacing w:after="0" w:line="240" w:lineRule="auto"/>
              <w:jc w:val="both"/>
            </w:pPr>
            <w:r w:rsidRPr="001C270D">
              <w:rPr>
                <w:rFonts w:ascii="Times New Roman" w:hAnsi="Times New Roman"/>
                <w:sz w:val="24"/>
                <w:szCs w:val="24"/>
              </w:rPr>
              <w:t>9</w:t>
            </w:r>
            <w:r w:rsidR="003F0DEF" w:rsidRPr="001C27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F702B" w:rsidRDefault="001F70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F0DEF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 дефекты транспортного средства</w:t>
      </w:r>
      <w:r w:rsidR="001F70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</w:p>
        </w:tc>
        <w:tc>
          <w:tcPr>
            <w:tcW w:w="7371" w:type="dxa"/>
          </w:tcPr>
          <w:p w:rsidR="001F702B" w:rsidRDefault="001F702B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Вмятины,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неровности, риски,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царапины и т.д. кузова, салона, моторного и багажного отделения; трещины, сколы и риски на стекле и приборах светотехники, на пластмассовых и 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деталях; следы некачественного технического обслуживания и ремонта, следы рихтовки, правки, подгонки, ремонтной сварки элементов кузова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шин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Пробои и порезы протектора и боковин, износ 100%</w:t>
            </w:r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и последствия коррозии элементов транспортного средства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поверхность кузова (включая всю наружную облицовку), состоящая из крыши, передней и задней части, боковин, </w:t>
            </w:r>
            <w:r w:rsidR="00D065BD">
              <w:rPr>
                <w:rFonts w:ascii="Times New Roman" w:hAnsi="Times New Roman" w:cs="Times New Roman"/>
                <w:sz w:val="24"/>
                <w:szCs w:val="24"/>
              </w:rPr>
              <w:t>наружной части дверей, низа обивки;</w:t>
            </w:r>
          </w:p>
          <w:p w:rsidR="00D065BD" w:rsidRDefault="00D065BD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кузова, обращенные к полотну дороги, включая основание кузова, арки и кожухи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колес, оперение, пороги, облицовку днища кузова</w:t>
            </w:r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дефекты</w:t>
            </w:r>
          </w:p>
        </w:tc>
        <w:tc>
          <w:tcPr>
            <w:tcW w:w="7371" w:type="dxa"/>
          </w:tcPr>
          <w:p w:rsidR="001F702B" w:rsidRDefault="00D065BD" w:rsidP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Трещины элементов кузова, трещины швов пайки и сварки; загрязнение и повреждение обивки салона (кабины) и сидений кузова автомобиля; потускнение (потеря глянца), расслоение, растрескивание, вздутие, отслаивание, вспучивание, разнотонность лакокрасочных и других защитных покрытий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ДТП</w:t>
            </w:r>
          </w:p>
        </w:tc>
        <w:tc>
          <w:tcPr>
            <w:tcW w:w="7371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участвовал в ДТП</w:t>
            </w:r>
          </w:p>
        </w:tc>
      </w:tr>
    </w:tbl>
    <w:p w:rsidR="00D306B4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эффективное использование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85"/>
        <w:gridCol w:w="1680"/>
        <w:gridCol w:w="1680"/>
        <w:gridCol w:w="1681"/>
        <w:gridCol w:w="1681"/>
      </w:tblGrid>
      <w:tr w:rsidR="00897729" w:rsidRPr="007C3B61" w:rsidTr="008B28E6">
        <w:tc>
          <w:tcPr>
            <w:tcW w:w="567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B6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7C3B6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C3B6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285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</w:tc>
        <w:tc>
          <w:tcPr>
            <w:tcW w:w="5041" w:type="dxa"/>
            <w:gridSpan w:val="3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Возможность дальнейшего использования</w:t>
            </w:r>
          </w:p>
        </w:tc>
        <w:tc>
          <w:tcPr>
            <w:tcW w:w="1681" w:type="dxa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Наиболее эффективное использование</w:t>
            </w:r>
          </w:p>
        </w:tc>
      </w:tr>
      <w:tr w:rsidR="001C270D" w:rsidRPr="007C3B61" w:rsidTr="007C3B61">
        <w:tc>
          <w:tcPr>
            <w:tcW w:w="567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Текущее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запчасти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Сдача в лом либо в утиль</w:t>
            </w:r>
          </w:p>
        </w:tc>
        <w:tc>
          <w:tcPr>
            <w:tcW w:w="1681" w:type="dxa"/>
            <w:vMerge w:val="restart"/>
          </w:tcPr>
          <w:p w:rsidR="001C270D" w:rsidRPr="007C3B61" w:rsidRDefault="001C270D" w:rsidP="00192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Текущее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по назначению</w:t>
            </w:r>
          </w:p>
        </w:tc>
      </w:tr>
      <w:tr w:rsidR="001C270D" w:rsidRPr="007C3B61" w:rsidTr="007C3B61">
        <w:tc>
          <w:tcPr>
            <w:tcW w:w="567" w:type="dxa"/>
          </w:tcPr>
          <w:p w:rsidR="001C270D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85" w:type="dxa"/>
          </w:tcPr>
          <w:p w:rsidR="001C270D" w:rsidRPr="007C3B61" w:rsidRDefault="001C270D" w:rsidP="0089772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3B61">
              <w:rPr>
                <w:rFonts w:ascii="Times New Roman" w:hAnsi="Times New Roman" w:cs="Times New Roman"/>
                <w:szCs w:val="24"/>
              </w:rPr>
              <w:t xml:space="preserve">ГАЗ-3102, </w:t>
            </w:r>
            <w:proofErr w:type="spellStart"/>
            <w:r w:rsidRPr="007C3B61"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C3B61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7C3B61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7C3B61">
              <w:rPr>
                <w:rFonts w:ascii="Times New Roman" w:hAnsi="Times New Roman" w:cs="Times New Roman"/>
                <w:szCs w:val="24"/>
              </w:rPr>
              <w:t>нак</w:t>
            </w:r>
            <w:proofErr w:type="spellEnd"/>
            <w:r w:rsidRPr="007C3B61">
              <w:rPr>
                <w:rFonts w:ascii="Times New Roman" w:hAnsi="Times New Roman" w:cs="Times New Roman"/>
                <w:szCs w:val="24"/>
              </w:rPr>
              <w:t xml:space="preserve"> М 809 ВС 18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251A4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5077E0">
        <w:rPr>
          <w:rFonts w:ascii="Times New Roman" w:hAnsi="Times New Roman" w:cs="Times New Roman"/>
          <w:sz w:val="24"/>
          <w:szCs w:val="24"/>
        </w:rPr>
        <w:t>0</w:t>
      </w:r>
      <w:r w:rsidR="00133149">
        <w:rPr>
          <w:rFonts w:ascii="Times New Roman" w:hAnsi="Times New Roman" w:cs="Times New Roman"/>
          <w:sz w:val="24"/>
          <w:szCs w:val="24"/>
        </w:rPr>
        <w:t>5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13314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</w:t>
      </w:r>
      <w:r w:rsidR="005077E0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5077E0" w:rsidP="001331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3149">
        <w:rPr>
          <w:rFonts w:ascii="Times New Roman" w:hAnsi="Times New Roman" w:cs="Times New Roman"/>
          <w:sz w:val="24"/>
          <w:szCs w:val="24"/>
        </w:rPr>
        <w:t>0 000 (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="00133149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645586">
        <w:rPr>
          <w:rFonts w:ascii="Times New Roman" w:eastAsia="Courier New" w:hAnsi="Times New Roman" w:cs="Times New Roman"/>
          <w:sz w:val="24"/>
          <w:szCs w:val="24"/>
          <w:lang w:bidi="ru-RU"/>
        </w:rPr>
        <w:t>15 января</w:t>
      </w:r>
      <w:r w:rsidR="00C42988"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645586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C42988"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645586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</w:t>
      </w:r>
      <w:r>
        <w:rPr>
          <w:rFonts w:ascii="Times New Roman" w:hAnsi="Times New Roman"/>
          <w:sz w:val="24"/>
          <w:szCs w:val="24"/>
        </w:rPr>
        <w:lastRenderedPageBreak/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50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5077E0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P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FB5E60">
        <w:rPr>
          <w:rFonts w:ascii="Times New Roman" w:hAnsi="Times New Roman" w:cs="Times New Roman"/>
          <w:sz w:val="24"/>
          <w:szCs w:val="24"/>
        </w:rPr>
        <w:t>6</w:t>
      </w:r>
      <w:r w:rsidR="00AB7772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E60">
        <w:rPr>
          <w:rFonts w:ascii="Times New Roman" w:hAnsi="Times New Roman" w:cs="Times New Roman"/>
          <w:sz w:val="24"/>
          <w:szCs w:val="24"/>
        </w:rPr>
        <w:t>Шесть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электронном аукционе № ______(№ аукциона)  по продаже муниципального имущества</w:t>
      </w:r>
      <w:r w:rsidR="00401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FB5E60">
        <w:rPr>
          <w:rFonts w:ascii="Times New Roman" w:hAnsi="Times New Roman" w:cs="Times New Roman"/>
          <w:sz w:val="24"/>
          <w:szCs w:val="24"/>
        </w:rPr>
        <w:t>1</w:t>
      </w:r>
      <w:r w:rsidR="00BA2211">
        <w:rPr>
          <w:rFonts w:ascii="Times New Roman" w:hAnsi="Times New Roman" w:cs="Times New Roman"/>
          <w:sz w:val="24"/>
          <w:szCs w:val="24"/>
        </w:rPr>
        <w:t xml:space="preserve"> 500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FB5E60">
        <w:rPr>
          <w:rFonts w:ascii="Times New Roman" w:hAnsi="Times New Roman" w:cs="Times New Roman"/>
          <w:sz w:val="24"/>
          <w:szCs w:val="24"/>
        </w:rPr>
        <w:t>Одна тысяча пятьсот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C42988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988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645586">
        <w:rPr>
          <w:rFonts w:ascii="Times New Roman" w:hAnsi="Times New Roman" w:cs="Times New Roman"/>
          <w:sz w:val="24"/>
          <w:szCs w:val="24"/>
        </w:rPr>
        <w:t>30 ноября</w:t>
      </w:r>
      <w:r w:rsidRPr="00C42988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C42988">
        <w:rPr>
          <w:rFonts w:ascii="Times New Roman" w:hAnsi="Times New Roman" w:cs="Times New Roman"/>
          <w:sz w:val="24"/>
          <w:szCs w:val="24"/>
        </w:rPr>
        <w:t>20</w:t>
      </w:r>
      <w:r w:rsidRPr="00C42988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645586">
        <w:rPr>
          <w:rFonts w:ascii="Times New Roman" w:hAnsi="Times New Roman" w:cs="Times New Roman"/>
          <w:sz w:val="24"/>
          <w:szCs w:val="24"/>
        </w:rPr>
        <w:t>5</w:t>
      </w:r>
      <w:r w:rsidRPr="00C42988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C42988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645586">
        <w:rPr>
          <w:rFonts w:ascii="Times New Roman" w:hAnsi="Times New Roman" w:cs="Times New Roman"/>
          <w:sz w:val="24"/>
          <w:szCs w:val="24"/>
        </w:rPr>
        <w:t>10 января</w:t>
      </w:r>
      <w:r w:rsidRPr="00C42988">
        <w:rPr>
          <w:rFonts w:ascii="Times New Roman" w:hAnsi="Times New Roman" w:cs="Times New Roman"/>
          <w:sz w:val="24"/>
          <w:szCs w:val="24"/>
        </w:rPr>
        <w:t xml:space="preserve"> 202</w:t>
      </w:r>
      <w:r w:rsidR="00645586">
        <w:rPr>
          <w:rFonts w:ascii="Times New Roman" w:hAnsi="Times New Roman" w:cs="Times New Roman"/>
          <w:sz w:val="24"/>
          <w:szCs w:val="24"/>
        </w:rPr>
        <w:t>1</w:t>
      </w:r>
      <w:r w:rsidRPr="00C42988">
        <w:rPr>
          <w:rFonts w:ascii="Times New Roman" w:hAnsi="Times New Roman" w:cs="Times New Roman"/>
          <w:sz w:val="24"/>
          <w:szCs w:val="24"/>
        </w:rPr>
        <w:t xml:space="preserve"> года до 16.00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рассмотрения заявок и документов претендентов и признания их участниками аукциона: </w:t>
      </w:r>
      <w:r w:rsidR="00F77212">
        <w:rPr>
          <w:rFonts w:ascii="Times New Roman" w:hAnsi="Times New Roman" w:cs="Times New Roman"/>
          <w:sz w:val="24"/>
          <w:szCs w:val="24"/>
        </w:rPr>
        <w:t>14 января</w:t>
      </w:r>
      <w:r w:rsidRPr="00C42988">
        <w:rPr>
          <w:rFonts w:ascii="Times New Roman" w:hAnsi="Times New Roman" w:cs="Times New Roman"/>
          <w:sz w:val="24"/>
          <w:szCs w:val="24"/>
        </w:rPr>
        <w:t xml:space="preserve"> 202</w:t>
      </w:r>
      <w:r w:rsidR="00F77212">
        <w:rPr>
          <w:rFonts w:ascii="Times New Roman" w:hAnsi="Times New Roman" w:cs="Times New Roman"/>
          <w:sz w:val="24"/>
          <w:szCs w:val="24"/>
        </w:rPr>
        <w:t>1</w:t>
      </w:r>
      <w:r w:rsidRPr="00C429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F032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F77212" w:rsidRDefault="005022D3" w:rsidP="00F7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7212">
        <w:rPr>
          <w:rFonts w:ascii="Times New Roman" w:hAnsi="Times New Roman" w:cs="Times New Roman"/>
          <w:sz w:val="24"/>
          <w:szCs w:val="24"/>
        </w:rPr>
        <w:t xml:space="preserve">Торги проводились в </w:t>
      </w:r>
      <w:r w:rsidR="00F77212">
        <w:rPr>
          <w:rFonts w:ascii="Times New Roman" w:hAnsi="Times New Roman" w:cs="Times New Roman"/>
          <w:sz w:val="24"/>
          <w:szCs w:val="24"/>
        </w:rPr>
        <w:t>июле-августе</w:t>
      </w:r>
      <w:r w:rsidR="00F77212">
        <w:rPr>
          <w:rFonts w:ascii="Times New Roman" w:hAnsi="Times New Roman" w:cs="Times New Roman"/>
          <w:sz w:val="24"/>
          <w:szCs w:val="24"/>
        </w:rPr>
        <w:t xml:space="preserve"> 2020 года, извещение № </w:t>
      </w:r>
      <w:r w:rsidR="00F77212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F77212">
        <w:rPr>
          <w:rFonts w:ascii="Times New Roman" w:hAnsi="Times New Roman" w:cs="Times New Roman"/>
          <w:sz w:val="24"/>
          <w:szCs w:val="24"/>
        </w:rPr>
        <w:t>012-2007</w:t>
      </w:r>
      <w:r w:rsidR="00F77212">
        <w:rPr>
          <w:rFonts w:ascii="Times New Roman" w:hAnsi="Times New Roman" w:cs="Times New Roman"/>
          <w:sz w:val="24"/>
          <w:szCs w:val="24"/>
        </w:rPr>
        <w:t>22</w:t>
      </w:r>
      <w:r w:rsidR="00F77212">
        <w:rPr>
          <w:rFonts w:ascii="Times New Roman" w:hAnsi="Times New Roman" w:cs="Times New Roman"/>
          <w:sz w:val="24"/>
          <w:szCs w:val="24"/>
        </w:rPr>
        <w:t>00</w:t>
      </w:r>
      <w:r w:rsidR="00F77212">
        <w:rPr>
          <w:rFonts w:ascii="Times New Roman" w:hAnsi="Times New Roman" w:cs="Times New Roman"/>
          <w:sz w:val="24"/>
          <w:szCs w:val="24"/>
        </w:rPr>
        <w:t>25</w:t>
      </w:r>
      <w:bookmarkStart w:id="2" w:name="_GoBack"/>
      <w:bookmarkEnd w:id="2"/>
      <w:r w:rsidR="00F77212">
        <w:rPr>
          <w:rFonts w:ascii="Times New Roman" w:hAnsi="Times New Roman" w:cs="Times New Roman"/>
          <w:sz w:val="24"/>
          <w:szCs w:val="24"/>
        </w:rPr>
        <w:t xml:space="preserve">.1. </w:t>
      </w:r>
      <w:r w:rsidR="00F7721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="00F77212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так как на участие в аукционе </w:t>
      </w:r>
      <w:r w:rsidR="00F7721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не было подано ни одной заявки</w:t>
      </w:r>
      <w:r w:rsidR="00F77212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6017D0" w:rsidRDefault="006017D0" w:rsidP="00BA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F2" w:rsidRDefault="00BB26F2">
      <w:pPr>
        <w:spacing w:after="0" w:line="240" w:lineRule="auto"/>
      </w:pPr>
      <w:r>
        <w:separator/>
      </w:r>
    </w:p>
  </w:endnote>
  <w:endnote w:type="continuationSeparator" w:id="0">
    <w:p w:rsidR="00BB26F2" w:rsidRDefault="00BB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F2" w:rsidRDefault="00BB26F2">
      <w:pPr>
        <w:spacing w:after="0" w:line="240" w:lineRule="auto"/>
      </w:pPr>
      <w:r>
        <w:separator/>
      </w:r>
    </w:p>
  </w:footnote>
  <w:footnote w:type="continuationSeparator" w:id="0">
    <w:p w:rsidR="00BB26F2" w:rsidRDefault="00BB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53FD1"/>
    <w:rsid w:val="00087897"/>
    <w:rsid w:val="000C7136"/>
    <w:rsid w:val="00133149"/>
    <w:rsid w:val="001C270D"/>
    <w:rsid w:val="001C57E3"/>
    <w:rsid w:val="001F702B"/>
    <w:rsid w:val="0023340E"/>
    <w:rsid w:val="00251A4B"/>
    <w:rsid w:val="002867A2"/>
    <w:rsid w:val="003107E4"/>
    <w:rsid w:val="003F0DEF"/>
    <w:rsid w:val="00401EBE"/>
    <w:rsid w:val="005022D3"/>
    <w:rsid w:val="005023AE"/>
    <w:rsid w:val="005077E0"/>
    <w:rsid w:val="005207AF"/>
    <w:rsid w:val="005709FE"/>
    <w:rsid w:val="006017D0"/>
    <w:rsid w:val="00645586"/>
    <w:rsid w:val="00707100"/>
    <w:rsid w:val="00773FDD"/>
    <w:rsid w:val="007C3B61"/>
    <w:rsid w:val="00897729"/>
    <w:rsid w:val="00944187"/>
    <w:rsid w:val="009C599D"/>
    <w:rsid w:val="00A50F84"/>
    <w:rsid w:val="00AB7772"/>
    <w:rsid w:val="00B418F1"/>
    <w:rsid w:val="00B9112B"/>
    <w:rsid w:val="00B93738"/>
    <w:rsid w:val="00BA2211"/>
    <w:rsid w:val="00BB26F2"/>
    <w:rsid w:val="00BB2C64"/>
    <w:rsid w:val="00C42988"/>
    <w:rsid w:val="00C45FDE"/>
    <w:rsid w:val="00CE11FA"/>
    <w:rsid w:val="00D065BD"/>
    <w:rsid w:val="00D306B4"/>
    <w:rsid w:val="00D64BCF"/>
    <w:rsid w:val="00D71318"/>
    <w:rsid w:val="00DC75D6"/>
    <w:rsid w:val="00F032DB"/>
    <w:rsid w:val="00F12DD3"/>
    <w:rsid w:val="00F46185"/>
    <w:rsid w:val="00F77212"/>
    <w:rsid w:val="00FB458D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BEC0-EFC8-466C-9329-226D1B8B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139</cp:revision>
  <cp:lastPrinted>2020-07-22T09:55:00Z</cp:lastPrinted>
  <dcterms:created xsi:type="dcterms:W3CDTF">2015-08-14T11:34:00Z</dcterms:created>
  <dcterms:modified xsi:type="dcterms:W3CDTF">2020-11-30T07:17:00Z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