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6E4F74">
        <w:rPr>
          <w:rFonts w:ascii="Times New Roman" w:hAnsi="Times New Roman" w:cs="Times New Roman"/>
          <w:sz w:val="24"/>
          <w:szCs w:val="24"/>
        </w:rPr>
        <w:t>1</w:t>
      </w:r>
      <w:r w:rsidR="00AA767C">
        <w:rPr>
          <w:rFonts w:ascii="Times New Roman" w:hAnsi="Times New Roman" w:cs="Times New Roman"/>
          <w:sz w:val="24"/>
          <w:szCs w:val="24"/>
        </w:rPr>
        <w:t>5</w:t>
      </w:r>
      <w:r w:rsidR="006E4F74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0036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500369">
        <w:rPr>
          <w:rFonts w:ascii="Times New Roman" w:hAnsi="Times New Roman" w:cs="Times New Roman"/>
          <w:sz w:val="24"/>
          <w:szCs w:val="24"/>
        </w:rPr>
        <w:t>2</w:t>
      </w:r>
      <w:r w:rsidR="00EB274A">
        <w:rPr>
          <w:rFonts w:ascii="Times New Roman" w:hAnsi="Times New Roman" w:cs="Times New Roman"/>
          <w:sz w:val="24"/>
          <w:szCs w:val="24"/>
        </w:rPr>
        <w:t>1</w:t>
      </w:r>
      <w:r w:rsidRPr="0050036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A767C">
        <w:rPr>
          <w:rFonts w:ascii="Times New Roman" w:hAnsi="Times New Roman" w:cs="Times New Roman"/>
          <w:sz w:val="24"/>
          <w:szCs w:val="24"/>
        </w:rPr>
        <w:t>503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AA767C" w:rsidRDefault="00AA767C" w:rsidP="00AA767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помещение.</w:t>
      </w:r>
    </w:p>
    <w:p w:rsidR="00AA767C" w:rsidRDefault="00AA767C" w:rsidP="00AA767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36"/>
        <w:gridCol w:w="5046"/>
      </w:tblGrid>
      <w:tr w:rsidR="00AA767C" w:rsidTr="00227B26">
        <w:tc>
          <w:tcPr>
            <w:tcW w:w="503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5, пом. 4-9, 11-28</w:t>
            </w:r>
          </w:p>
        </w:tc>
      </w:tr>
      <w:tr w:rsidR="00AA767C" w:rsidTr="00227B26">
        <w:tc>
          <w:tcPr>
            <w:tcW w:w="503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18:16:057001:4582</w:t>
            </w:r>
          </w:p>
        </w:tc>
      </w:tr>
      <w:tr w:rsidR="00AA767C" w:rsidTr="00227B26">
        <w:tc>
          <w:tcPr>
            <w:tcW w:w="503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04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</w:tr>
      <w:tr w:rsidR="00AA767C" w:rsidTr="00227B26">
        <w:tc>
          <w:tcPr>
            <w:tcW w:w="503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504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AA767C" w:rsidTr="00227B26">
        <w:tc>
          <w:tcPr>
            <w:tcW w:w="503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тип этажа, на котором расположено помещение </w:t>
            </w:r>
          </w:p>
        </w:tc>
        <w:tc>
          <w:tcPr>
            <w:tcW w:w="504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</w:t>
            </w:r>
          </w:p>
        </w:tc>
      </w:tr>
      <w:tr w:rsidR="00AA767C" w:rsidTr="00227B26">
        <w:tc>
          <w:tcPr>
            <w:tcW w:w="503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504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A767C" w:rsidTr="00227B26">
        <w:tc>
          <w:tcPr>
            <w:tcW w:w="503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</w:p>
        </w:tc>
        <w:tc>
          <w:tcPr>
            <w:tcW w:w="504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AA767C" w:rsidTr="00227B26">
        <w:tc>
          <w:tcPr>
            <w:tcW w:w="503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04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A767C" w:rsidTr="00227B26">
        <w:tc>
          <w:tcPr>
            <w:tcW w:w="503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5046" w:type="dxa"/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AA767C" w:rsidTr="00227B26">
        <w:tc>
          <w:tcPr>
            <w:tcW w:w="5036" w:type="dxa"/>
          </w:tcPr>
          <w:p w:rsidR="00AA767C" w:rsidRDefault="00227B26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</w:tcPr>
          <w:p w:rsidR="00AA767C" w:rsidRDefault="00227B26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помещения внутри здания с выделенным входом</w:t>
            </w:r>
          </w:p>
        </w:tc>
      </w:tr>
    </w:tbl>
    <w:p w:rsidR="00AA767C" w:rsidRDefault="00AA767C" w:rsidP="00AA767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AA767C" w:rsidRDefault="00AA767C" w:rsidP="00AA767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расположено в здании, имеющем следующие характеристики: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AA767C" w:rsidTr="0041094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AA767C" w:rsidTr="0041094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</w:t>
            </w:r>
          </w:p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площадь, кв. м</w:t>
            </w:r>
          </w:p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этажей, в том числе подземных этажей</w:t>
            </w:r>
          </w:p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со столовой, № 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Нежилое  здание</w:t>
            </w:r>
          </w:p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957,5 кв. м</w:t>
            </w:r>
          </w:p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3, в том числе </w:t>
            </w:r>
            <w:proofErr w:type="gram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AA767C" w:rsidTr="0041094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AA767C" w:rsidTr="0041094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Pr="00CE1C96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</w:tr>
    </w:tbl>
    <w:p w:rsidR="00AA767C" w:rsidRDefault="00AA767C" w:rsidP="00AA767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A767C" w:rsidRDefault="00AA767C" w:rsidP="00AA767C">
      <w:pPr>
        <w:pStyle w:val="af4"/>
        <w:spacing w:after="0" w:line="240" w:lineRule="auto"/>
        <w:ind w:left="600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</w:p>
    <w:tbl>
      <w:tblPr>
        <w:tblW w:w="10082" w:type="dxa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  <w:gridCol w:w="3677"/>
      </w:tblGrid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конструктивного элемента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Наружные, внутренние капитальные стены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Выветривание швов, ослабление кирпичной кладки</w:t>
            </w:r>
          </w:p>
        </w:tc>
      </w:tr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Перегородки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Трещины на поверхности</w:t>
            </w:r>
          </w:p>
        </w:tc>
      </w:tr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Надподвальное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перекрытие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металлический лист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Паркет, керамическая плитка,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  <w:proofErr w:type="gram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простые с двойным остеклением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Окраска, обои, керамическая плитка, побелка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67C" w:rsidTr="00410948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электрич.устройства</w:t>
            </w:r>
            <w:proofErr w:type="spellEnd"/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767C" w:rsidRDefault="00AA767C" w:rsidP="0041094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EC2041" w:rsidRDefault="00EC2041" w:rsidP="00EC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продажи имущества установлена на основании отчета оценщика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30 апреля 2021 года № 33-ГС/21. В соответствии с Отчетом рыночная стоимость имущества составляет 1 290 300 (Один миллион двести девяносто тысяч триста) рублей 00 копеек с учетом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7B7B60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="00D527EB">
        <w:rPr>
          <w:rFonts w:ascii="Times New Roman" w:eastAsia="Courier New" w:hAnsi="Times New Roman" w:cs="Times New Roman"/>
          <w:sz w:val="24"/>
          <w:szCs w:val="24"/>
          <w:lang w:bidi="ru-RU"/>
        </w:rPr>
        <w:t>7</w:t>
      </w:r>
      <w:r w:rsidR="007E04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июля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D527E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10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D527EB">
        <w:rPr>
          <w:rFonts w:ascii="Times New Roman" w:hAnsi="Times New Roman" w:cs="Times New Roman"/>
          <w:sz w:val="24"/>
          <w:szCs w:val="24"/>
        </w:rPr>
        <w:t>77</w:t>
      </w:r>
      <w:r w:rsidRPr="00AF124D">
        <w:rPr>
          <w:rFonts w:ascii="Times New Roman" w:hAnsi="Times New Roman" w:cs="Times New Roman"/>
          <w:sz w:val="24"/>
          <w:szCs w:val="24"/>
        </w:rPr>
        <w:t xml:space="preserve"> (МО «</w:t>
      </w:r>
      <w:r w:rsidR="00D527EB">
        <w:rPr>
          <w:rFonts w:ascii="Times New Roman" w:hAnsi="Times New Roman" w:cs="Times New Roman"/>
          <w:sz w:val="24"/>
          <w:szCs w:val="24"/>
        </w:rPr>
        <w:t>Пугачевское</w:t>
      </w:r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D527EB">
        <w:rPr>
          <w:rFonts w:ascii="Times New Roman" w:hAnsi="Times New Roman" w:cs="Times New Roman"/>
          <w:sz w:val="24"/>
          <w:szCs w:val="24"/>
        </w:rPr>
        <w:t>258 060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527EB">
        <w:rPr>
          <w:rFonts w:ascii="Times New Roman" w:hAnsi="Times New Roman" w:cs="Times New Roman"/>
          <w:sz w:val="24"/>
          <w:szCs w:val="24"/>
        </w:rPr>
        <w:t>Двести пятьдесят восемь тысяч шестьдесят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9A2856">
        <w:rPr>
          <w:rFonts w:ascii="Times New Roman" w:hAnsi="Times New Roman" w:cs="Times New Roman"/>
          <w:sz w:val="24"/>
          <w:szCs w:val="24"/>
        </w:rPr>
        <w:t>64 515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9A2856">
        <w:rPr>
          <w:rFonts w:ascii="Times New Roman" w:hAnsi="Times New Roman" w:cs="Times New Roman"/>
          <w:sz w:val="24"/>
          <w:szCs w:val="24"/>
        </w:rPr>
        <w:t>Шестьдесят четыре тысячи пятьсот пятнадцать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 xml:space="preserve">: </w:t>
      </w:r>
      <w:r w:rsidR="0003474F">
        <w:rPr>
          <w:rFonts w:ascii="Times New Roman" w:hAnsi="Times New Roman" w:cs="Times New Roman"/>
          <w:sz w:val="24"/>
          <w:szCs w:val="24"/>
        </w:rPr>
        <w:t>2</w:t>
      </w:r>
      <w:r w:rsidR="009A2856">
        <w:rPr>
          <w:rFonts w:ascii="Times New Roman" w:hAnsi="Times New Roman" w:cs="Times New Roman"/>
          <w:sz w:val="24"/>
          <w:szCs w:val="24"/>
        </w:rPr>
        <w:t>4</w:t>
      </w:r>
      <w:r w:rsidR="00784298">
        <w:rPr>
          <w:rFonts w:ascii="Times New Roman" w:hAnsi="Times New Roman" w:cs="Times New Roman"/>
          <w:sz w:val="24"/>
          <w:szCs w:val="24"/>
        </w:rPr>
        <w:t xml:space="preserve"> </w:t>
      </w:r>
      <w:r w:rsidR="00C271A7">
        <w:rPr>
          <w:rFonts w:ascii="Times New Roman" w:hAnsi="Times New Roman" w:cs="Times New Roman"/>
          <w:sz w:val="24"/>
          <w:szCs w:val="24"/>
        </w:rPr>
        <w:t>июня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</w:t>
      </w:r>
      <w:r w:rsidR="00C271A7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>
        <w:rPr>
          <w:rFonts w:ascii="Times New Roman" w:hAnsi="Times New Roman" w:cs="Times New Roman"/>
          <w:sz w:val="24"/>
          <w:szCs w:val="24"/>
        </w:rPr>
        <w:t>6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9A2856">
        <w:rPr>
          <w:rFonts w:ascii="Times New Roman" w:hAnsi="Times New Roman" w:cs="Times New Roman"/>
          <w:sz w:val="24"/>
          <w:szCs w:val="24"/>
        </w:rPr>
        <w:t>20</w:t>
      </w:r>
      <w:r w:rsidR="00C271A7">
        <w:rPr>
          <w:rFonts w:ascii="Times New Roman" w:hAnsi="Times New Roman" w:cs="Times New Roman"/>
          <w:sz w:val="24"/>
          <w:szCs w:val="24"/>
        </w:rPr>
        <w:t xml:space="preserve"> ию</w:t>
      </w:r>
      <w:r w:rsidR="0003474F">
        <w:rPr>
          <w:rFonts w:ascii="Times New Roman" w:hAnsi="Times New Roman" w:cs="Times New Roman"/>
          <w:sz w:val="24"/>
          <w:szCs w:val="24"/>
        </w:rPr>
        <w:t>л</w:t>
      </w:r>
      <w:r w:rsidR="00C271A7">
        <w:rPr>
          <w:rFonts w:ascii="Times New Roman" w:hAnsi="Times New Roman" w:cs="Times New Roman"/>
          <w:sz w:val="24"/>
          <w:szCs w:val="24"/>
        </w:rPr>
        <w:t>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="00C271A7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03474F">
        <w:rPr>
          <w:rFonts w:ascii="Times New Roman" w:hAnsi="Times New Roman" w:cs="Times New Roman"/>
          <w:sz w:val="24"/>
          <w:szCs w:val="24"/>
        </w:rPr>
        <w:t>2</w:t>
      </w:r>
      <w:r w:rsidR="001E5F5A">
        <w:rPr>
          <w:rFonts w:ascii="Times New Roman" w:hAnsi="Times New Roman" w:cs="Times New Roman"/>
          <w:sz w:val="24"/>
          <w:szCs w:val="24"/>
        </w:rPr>
        <w:t>6</w:t>
      </w:r>
      <w:r w:rsidR="00784298"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июля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9A2856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4259A7" w:rsidRDefault="004259A7" w:rsidP="0042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Торги проводились в декабре 2020-январе 2021 года, извещение № </w:t>
      </w:r>
      <w:r>
        <w:rPr>
          <w:rFonts w:ascii="Times New Roman" w:hAnsi="Times New Roman" w:cs="Times New Roman"/>
          <w:sz w:val="24"/>
          <w:szCs w:val="24"/>
          <w:lang w:val="en-US"/>
        </w:rPr>
        <w:t>SBR</w:t>
      </w:r>
      <w:r>
        <w:rPr>
          <w:rFonts w:ascii="Times New Roman" w:hAnsi="Times New Roman" w:cs="Times New Roman"/>
          <w:sz w:val="24"/>
          <w:szCs w:val="24"/>
        </w:rPr>
        <w:t xml:space="preserve">012-2012090022.1.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Аукцион признан несостоявшимся, </w:t>
      </w:r>
      <w:r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так как на участие в аукционе 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не было подано ни одной заявки</w:t>
      </w:r>
      <w:r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3B" w:rsidRDefault="002C5F3B">
      <w:pPr>
        <w:spacing w:after="0" w:line="240" w:lineRule="auto"/>
      </w:pPr>
      <w:r>
        <w:separator/>
      </w:r>
    </w:p>
  </w:endnote>
  <w:endnote w:type="continuationSeparator" w:id="0">
    <w:p w:rsidR="002C5F3B" w:rsidRDefault="002C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3B" w:rsidRDefault="002C5F3B">
      <w:pPr>
        <w:spacing w:after="0" w:line="240" w:lineRule="auto"/>
      </w:pPr>
      <w:r>
        <w:separator/>
      </w:r>
    </w:p>
  </w:footnote>
  <w:footnote w:type="continuationSeparator" w:id="0">
    <w:p w:rsidR="002C5F3B" w:rsidRDefault="002C5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31BCA"/>
    <w:rsid w:val="0003474F"/>
    <w:rsid w:val="0004731C"/>
    <w:rsid w:val="00053FD1"/>
    <w:rsid w:val="00087897"/>
    <w:rsid w:val="000C7136"/>
    <w:rsid w:val="000F357C"/>
    <w:rsid w:val="00133149"/>
    <w:rsid w:val="001C57E3"/>
    <w:rsid w:val="001E5F5A"/>
    <w:rsid w:val="00210A3F"/>
    <w:rsid w:val="00227B26"/>
    <w:rsid w:val="002867A2"/>
    <w:rsid w:val="002C5F3B"/>
    <w:rsid w:val="002D5636"/>
    <w:rsid w:val="002F2020"/>
    <w:rsid w:val="003107E4"/>
    <w:rsid w:val="00310AE6"/>
    <w:rsid w:val="00352786"/>
    <w:rsid w:val="004259A7"/>
    <w:rsid w:val="00466A4B"/>
    <w:rsid w:val="004F3A50"/>
    <w:rsid w:val="00500369"/>
    <w:rsid w:val="005022D3"/>
    <w:rsid w:val="005023AE"/>
    <w:rsid w:val="00557821"/>
    <w:rsid w:val="00567D7A"/>
    <w:rsid w:val="005709FE"/>
    <w:rsid w:val="006017D0"/>
    <w:rsid w:val="0062142A"/>
    <w:rsid w:val="006E4F74"/>
    <w:rsid w:val="00773FDD"/>
    <w:rsid w:val="00784298"/>
    <w:rsid w:val="007B7B60"/>
    <w:rsid w:val="007E0423"/>
    <w:rsid w:val="0081002B"/>
    <w:rsid w:val="00821DC1"/>
    <w:rsid w:val="00836FBF"/>
    <w:rsid w:val="008A3760"/>
    <w:rsid w:val="00941356"/>
    <w:rsid w:val="00986CCF"/>
    <w:rsid w:val="009A2856"/>
    <w:rsid w:val="009C599D"/>
    <w:rsid w:val="00A063B4"/>
    <w:rsid w:val="00A329E8"/>
    <w:rsid w:val="00AA767C"/>
    <w:rsid w:val="00AB7772"/>
    <w:rsid w:val="00AF124D"/>
    <w:rsid w:val="00B036C7"/>
    <w:rsid w:val="00B15EB6"/>
    <w:rsid w:val="00B9112B"/>
    <w:rsid w:val="00BA2211"/>
    <w:rsid w:val="00BB2C64"/>
    <w:rsid w:val="00C13A1C"/>
    <w:rsid w:val="00C271A7"/>
    <w:rsid w:val="00C45FDE"/>
    <w:rsid w:val="00C55B77"/>
    <w:rsid w:val="00C56B52"/>
    <w:rsid w:val="00C64523"/>
    <w:rsid w:val="00D4175A"/>
    <w:rsid w:val="00D527EB"/>
    <w:rsid w:val="00D71318"/>
    <w:rsid w:val="00D85B4B"/>
    <w:rsid w:val="00D87450"/>
    <w:rsid w:val="00DC1166"/>
    <w:rsid w:val="00DC75D6"/>
    <w:rsid w:val="00EB274A"/>
    <w:rsid w:val="00EC2041"/>
    <w:rsid w:val="00F12599"/>
    <w:rsid w:val="00F12DD3"/>
    <w:rsid w:val="00F52B19"/>
    <w:rsid w:val="00F87514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10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148</cp:revision>
  <cp:lastPrinted>2020-07-22T10:15:00Z</cp:lastPrinted>
  <dcterms:created xsi:type="dcterms:W3CDTF">2015-08-14T11:34:00Z</dcterms:created>
  <dcterms:modified xsi:type="dcterms:W3CDTF">2021-06-24T10:15:00Z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